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bookmarkStart w:id="10" w:name="_GoBack"/>
      <w:r>
        <w:rPr>
          <w:rFonts w:hint="eastAsia" w:ascii="方正小标宋简体" w:hAnsi="方正小标宋简体" w:eastAsia="方正小标宋简体" w:cs="方正小标宋简体"/>
          <w:b/>
          <w:bCs/>
          <w:sz w:val="44"/>
          <w:szCs w:val="44"/>
        </w:rPr>
        <w:t>四川省乐山第一中学校</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校园树木修剪服务项目公开比价公告</w:t>
      </w:r>
    </w:p>
    <w:bookmarkEnd w:id="10"/>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依据《四川省政府采购品目分类目录（2023年版）》及相关文件要求，经学校研究，拟对乐山一中校园树木修剪服务项目采用公开比价的方式进行采购，兹邀请符合本次比价要求的供应商参加投标。</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b/>
          <w:bCs/>
          <w:sz w:val="28"/>
          <w:szCs w:val="28"/>
        </w:rPr>
        <w:t>一、项目名称：</w:t>
      </w:r>
      <w:r>
        <w:rPr>
          <w:rFonts w:hint="eastAsia" w:ascii="仿宋" w:hAnsi="仿宋" w:eastAsia="仿宋" w:cs="仿宋"/>
          <w:sz w:val="28"/>
          <w:szCs w:val="28"/>
        </w:rPr>
        <w:t>乐山一中校园树木修剪服务项目</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项目编号</w:t>
      </w:r>
      <w:r>
        <w:rPr>
          <w:rFonts w:hint="eastAsia" w:ascii="仿宋" w:hAnsi="仿宋" w:eastAsia="仿宋" w:cs="仿宋"/>
          <w:sz w:val="28"/>
          <w:szCs w:val="28"/>
        </w:rPr>
        <w:t>：LSYZLC（2023）03号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三、采购方式：</w:t>
      </w:r>
      <w:r>
        <w:rPr>
          <w:rFonts w:hint="eastAsia" w:ascii="仿宋" w:hAnsi="仿宋" w:eastAsia="仿宋" w:cs="仿宋"/>
          <w:sz w:val="28"/>
          <w:szCs w:val="28"/>
        </w:rPr>
        <w:t>比价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四、采购预算及最高限价：9.81</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五、投标人资格和条件：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（七）本项目，采购人 </w:t>
      </w:r>
      <w:r>
        <w:rPr>
          <w:rFonts w:hint="eastAsia" w:ascii="仿宋" w:hAnsi="仿宋" w:eastAsia="仿宋" w:cs="仿宋"/>
          <w:sz w:val="28"/>
          <w:szCs w:val="28"/>
          <w:u w:val="single"/>
        </w:rPr>
        <w:t xml:space="preserve"> 不接受  </w:t>
      </w:r>
      <w:r>
        <w:rPr>
          <w:rFonts w:hint="eastAsia" w:ascii="仿宋" w:hAnsi="仿宋" w:eastAsia="仿宋" w:cs="仿宋"/>
          <w:sz w:val="28"/>
          <w:szCs w:val="28"/>
        </w:rPr>
        <w:t xml:space="preserve"> 联合体参加。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六、项目概况及修剪树木清单。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项目概况：乐山一中校园内树木主要分为：香樟树、黄葛树、小叶榕、天竺桂、蒲葵、银杏树、雪松等，总计需修剪的树木654棵（详见清单），由于树木之间生长空间过于紧密，大部分树木冠幅过于茂盛，对学校建筑物相邻的墙体、窗户、行人及车辆构成安全隐患，需对较高树木的枯枝、断枝和杂乱生长的枝干进行清除，对冠幅过大的树木进行全面修剪，对倾倒树木进行扶正，对枯死树木进行锯除，达到调整树势，促进生长，美化树形的要求。</w:t>
      </w:r>
    </w:p>
    <w:p>
      <w:pPr>
        <w:ind w:firstLine="560" w:firstLineChars="200"/>
        <w:rPr>
          <w:rFonts w:ascii="仿宋" w:hAnsi="仿宋" w:eastAsia="仿宋" w:cs="仿宋"/>
          <w:sz w:val="28"/>
          <w:szCs w:val="28"/>
        </w:rPr>
      </w:pPr>
      <w:r>
        <w:rPr>
          <w:rFonts w:hint="eastAsia" w:ascii="仿宋" w:hAnsi="仿宋" w:eastAsia="仿宋" w:cs="仿宋"/>
          <w:sz w:val="28"/>
          <w:szCs w:val="28"/>
        </w:rPr>
        <w:t>2、修剪树木清单：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4528"/>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rPr>
                <w:rFonts w:ascii="仿宋" w:hAnsi="仿宋" w:eastAsia="仿宋" w:cs="仿宋"/>
                <w:sz w:val="28"/>
                <w:szCs w:val="28"/>
              </w:rPr>
            </w:pPr>
            <w:r>
              <w:rPr>
                <w:rFonts w:hint="eastAsia" w:ascii="仿宋" w:hAnsi="仿宋" w:eastAsia="仿宋" w:cs="仿宋"/>
                <w:sz w:val="28"/>
                <w:szCs w:val="28"/>
              </w:rPr>
              <w:t>序号</w:t>
            </w:r>
          </w:p>
        </w:tc>
        <w:tc>
          <w:tcPr>
            <w:tcW w:w="4528" w:type="dxa"/>
          </w:tcPr>
          <w:p>
            <w:pPr>
              <w:ind w:firstLine="560" w:firstLineChars="200"/>
              <w:rPr>
                <w:rFonts w:ascii="仿宋" w:hAnsi="仿宋" w:eastAsia="仿宋" w:cs="仿宋"/>
                <w:sz w:val="28"/>
                <w:szCs w:val="28"/>
              </w:rPr>
            </w:pPr>
            <w:r>
              <w:rPr>
                <w:rFonts w:hint="eastAsia" w:ascii="仿宋" w:hAnsi="仿宋" w:eastAsia="仿宋" w:cs="仿宋"/>
                <w:sz w:val="28"/>
                <w:szCs w:val="28"/>
              </w:rPr>
              <w:t>类别（树木名称）</w:t>
            </w:r>
          </w:p>
        </w:tc>
        <w:tc>
          <w:tcPr>
            <w:tcW w:w="2726" w:type="dxa"/>
          </w:tcPr>
          <w:p>
            <w:pPr>
              <w:ind w:firstLine="560" w:firstLineChars="200"/>
              <w:rPr>
                <w:rFonts w:ascii="仿宋" w:hAnsi="仿宋" w:eastAsia="仿宋" w:cs="仿宋"/>
                <w:sz w:val="28"/>
                <w:szCs w:val="28"/>
              </w:rPr>
            </w:pPr>
            <w:r>
              <w:rPr>
                <w:rFonts w:hint="eastAsia" w:ascii="仿宋" w:hAnsi="仿宋" w:eastAsia="仿宋" w:cs="仿宋"/>
                <w:sz w:val="28"/>
                <w:szCs w:val="28"/>
              </w:rPr>
              <w:t>数量（棵）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1</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小叶榕</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2</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香樟树</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3</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天竺桂</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4</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黄葛树</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5</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银杏树</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6</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蒲葵</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7</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雪松</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8</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柏松</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仿宋" w:hAnsi="仿宋" w:eastAsia="仿宋" w:cs="仿宋"/>
                <w:sz w:val="28"/>
                <w:szCs w:val="28"/>
              </w:rPr>
            </w:pPr>
            <w:r>
              <w:rPr>
                <w:rFonts w:hint="eastAsia" w:ascii="仿宋" w:hAnsi="仿宋" w:eastAsia="仿宋" w:cs="仿宋"/>
                <w:sz w:val="28"/>
                <w:szCs w:val="28"/>
              </w:rPr>
              <w:t>9</w:t>
            </w:r>
          </w:p>
        </w:tc>
        <w:tc>
          <w:tcPr>
            <w:tcW w:w="4528" w:type="dxa"/>
          </w:tcPr>
          <w:p>
            <w:pPr>
              <w:jc w:val="center"/>
              <w:rPr>
                <w:rFonts w:ascii="仿宋" w:hAnsi="仿宋" w:eastAsia="仿宋" w:cs="仿宋"/>
                <w:sz w:val="28"/>
                <w:szCs w:val="28"/>
              </w:rPr>
            </w:pPr>
            <w:r>
              <w:rPr>
                <w:rFonts w:hint="eastAsia" w:ascii="仿宋" w:hAnsi="仿宋" w:eastAsia="仿宋" w:cs="仿宋"/>
                <w:sz w:val="28"/>
                <w:szCs w:val="28"/>
              </w:rPr>
              <w:t>枯死树木锯除</w:t>
            </w:r>
          </w:p>
        </w:tc>
        <w:tc>
          <w:tcPr>
            <w:tcW w:w="2726" w:type="dxa"/>
          </w:tcPr>
          <w:p>
            <w:pPr>
              <w:jc w:val="center"/>
              <w:rPr>
                <w:rFonts w:ascii="仿宋" w:hAnsi="仿宋" w:eastAsia="仿宋" w:cs="仿宋"/>
                <w:sz w:val="28"/>
                <w:szCs w:val="28"/>
              </w:rPr>
            </w:pPr>
            <w:r>
              <w:rPr>
                <w:rFonts w:hint="eastAsia" w:ascii="仿宋" w:hAnsi="仿宋" w:eastAsia="仿宋" w:cs="仿宋"/>
                <w:sz w:val="28"/>
                <w:szCs w:val="28"/>
              </w:rPr>
              <w:t>18</w:t>
            </w:r>
          </w:p>
        </w:tc>
      </w:tr>
    </w:tbl>
    <w:p>
      <w:pPr>
        <w:pStyle w:val="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七、商务要求（实质性要求）。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1、供应商在施工期间不得影响学校的正常教学工作，上课时间应当避开教学区域，节假日才进行教学区域的树木修剪作业；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对每棵树木的修剪标准必须征得学校相关部门负责人的同意后实施，不得擅自处理，修剪结果必须符合学校要求。树木修剪应采取片区作业的方式进行，树木修剪区域应设立醒目的标识，并对周边区域进行封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3、施工期间不得影响全校师生及相关车辆的正常通行；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4、施工期间必须设立安全员现场指导作业，并对现场安全工作负责，施工前应对周边建筑、设施、车辆做好安全保护工作，如因施工造成损坏的应照价赔偿；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5、对修剪的枝干、枝叶必须及时进行清运处理，不得随意堆放；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6、在对树木进行修剪前后，应当留存图像资料，施工完成后一并提交学校存档；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7、</w:t>
      </w:r>
      <w:r>
        <w:rPr>
          <w:rFonts w:hint="eastAsia" w:ascii="仿宋" w:hAnsi="仿宋" w:eastAsia="仿宋" w:cs="仿宋"/>
          <w:sz w:val="28"/>
          <w:szCs w:val="28"/>
          <w:lang w:eastAsia="zh-CN"/>
        </w:rPr>
        <w:t>修剪施工结束后，学校将组织相关部门进行验收，验收合格后，支付款项。验收不合格限期整改，施工期间对学校财产、师生安全造成损失的务必进行赔偿，拒不履行赔偿义务的，学校有权从服务费中进行扣除，服务费不足弥补学校损失的，还应按学校损失尚未弥补的部分支付赔偿金。</w:t>
      </w:r>
    </w:p>
    <w:p>
      <w:pPr>
        <w:pStyle w:val="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八、报名及投标文件的领取：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1、本项目不需报名，有意参加投标的供应商家按招标公告要求递交投标文件，文件自行下载。</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2、本投标邀请在四川省乐山第一中学校官网（http://www.sclsyz.com/）上以公告形式发布。</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九、报价：</w:t>
      </w:r>
      <w:r>
        <w:rPr>
          <w:rFonts w:hint="eastAsia" w:ascii="仿宋" w:hAnsi="仿宋" w:eastAsia="仿宋" w:cs="仿宋"/>
          <w:sz w:val="28"/>
          <w:szCs w:val="28"/>
        </w:rPr>
        <w:t xml:space="preserve"> 投标供应商按照报价表（见附件一），所报总价应包含成本、机械、吊车、绿化垃圾运输、油料、搭架费、税费、利润等所有费用。报价要求：超过最高限价为无效报价，对低于该项目控制价的50%的。有可能影响服务质量或者不能诚信履约的，应当将其作为无效处理。本项目采用一次性报价方式，按照低价中标原则，选定中标单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十、投标文件的内容：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1、加盖公章的报价书（附件一）；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2、加盖公章的营业执照复印件、组织机构代码证复印件、税务登记证复印件，加盖公章；</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4、公告第五条投标人资格和条件资料或承诺函（承诺函格式见附件三）；</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
          <w:lang w:val="en-US" w:eastAsia="zh-CN"/>
        </w:rPr>
      </w:pPr>
      <w:r>
        <w:rPr>
          <w:rFonts w:hint="eastAsia" w:ascii="仿宋" w:hAnsi="仿宋" w:eastAsia="仿宋" w:cs="仿宋"/>
          <w:sz w:val="28"/>
          <w:szCs w:val="28"/>
          <w:lang w:val="en-US" w:eastAsia="zh-CN"/>
        </w:rPr>
        <w:t>5、投标人应如实填写商务应答表（格式见附件四）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b/>
          <w:bCs/>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b/>
          <w:bCs/>
          <w:sz w:val="28"/>
          <w:szCs w:val="28"/>
        </w:rPr>
        <w:t>以上投标文件需提供正本一份、副本一份，投标人未对投标文件进行密封的，采购人不得收取投标文件。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十一、投标文件的递交：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投标供应商严格按照公告要求将投标文件规范密封后，于2023年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 xml:space="preserve">  </w:t>
      </w:r>
      <w:r>
        <w:rPr>
          <w:rFonts w:hint="eastAsia" w:ascii="仿宋" w:hAnsi="仿宋" w:eastAsia="仿宋" w:cs="仿宋"/>
          <w:sz w:val="28"/>
          <w:szCs w:val="28"/>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00" w:lineRule="exact"/>
        <w:ind w:right="-313" w:rightChars="-149"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乐山一中纪委电话：0833-2605626</w:t>
      </w:r>
    </w:p>
    <w:p>
      <w:pPr>
        <w:spacing w:line="560" w:lineRule="exact"/>
        <w:jc w:val="left"/>
        <w:rPr>
          <w:rFonts w:ascii="仿宋" w:hAnsi="仿宋" w:eastAsia="仿宋" w:cs="仿宋"/>
          <w:sz w:val="28"/>
          <w:szCs w:val="28"/>
        </w:rPr>
      </w:pPr>
    </w:p>
    <w:p>
      <w:pPr>
        <w:pStyle w:val="5"/>
      </w:pPr>
    </w:p>
    <w:p>
      <w:pPr>
        <w:spacing w:line="560" w:lineRule="exact"/>
        <w:jc w:val="right"/>
        <w:rPr>
          <w:rFonts w:ascii="仿宋" w:hAnsi="仿宋" w:eastAsia="仿宋" w:cs="仿宋"/>
          <w:sz w:val="28"/>
          <w:szCs w:val="28"/>
        </w:rPr>
      </w:pPr>
      <w:r>
        <w:rPr>
          <w:rFonts w:hint="eastAsia" w:ascii="仿宋" w:hAnsi="仿宋" w:eastAsia="仿宋" w:cs="仿宋"/>
          <w:sz w:val="28"/>
          <w:szCs w:val="28"/>
        </w:rPr>
        <w:t>四川省乐山第一中学校</w:t>
      </w:r>
    </w:p>
    <w:p>
      <w:pPr>
        <w:spacing w:line="560" w:lineRule="exact"/>
        <w:ind w:firstLine="5880" w:firstLineChars="2100"/>
        <w:rPr>
          <w:rFonts w:ascii="仿宋" w:hAnsi="仿宋" w:eastAsia="仿宋" w:cs="仿宋"/>
          <w:bCs/>
          <w:szCs w:val="21"/>
        </w:rPr>
      </w:pPr>
      <w:r>
        <w:rPr>
          <w:rFonts w:hint="eastAsia" w:ascii="仿宋" w:hAnsi="仿宋" w:eastAsia="仿宋" w:cs="仿宋"/>
          <w:sz w:val="28"/>
          <w:szCs w:val="28"/>
        </w:rPr>
        <w:t>2023年05月3</w:t>
      </w:r>
      <w:r>
        <w:rPr>
          <w:rFonts w:hint="eastAsia" w:ascii="仿宋" w:hAnsi="仿宋" w:eastAsia="仿宋" w:cs="仿宋"/>
          <w:sz w:val="28"/>
          <w:szCs w:val="28"/>
          <w:lang w:val="en-US" w:eastAsia="zh-CN"/>
        </w:rPr>
        <w:t>1</w:t>
      </w:r>
      <w:r>
        <w:rPr>
          <w:rFonts w:hint="eastAsia" w:ascii="仿宋" w:hAnsi="仿宋" w:eastAsia="仿宋" w:cs="仿宋"/>
          <w:sz w:val="28"/>
          <w:szCs w:val="28"/>
        </w:rPr>
        <w:t>日</w:t>
      </w:r>
    </w:p>
    <w:p>
      <w:pPr>
        <w:pStyle w:val="5"/>
        <w:rPr>
          <w:rFonts w:ascii="仿宋" w:hAnsi="仿宋" w:eastAsia="仿宋" w:cs="仿宋"/>
          <w:bCs/>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附件一：</w:t>
      </w:r>
    </w:p>
    <w:p>
      <w:pPr>
        <w:jc w:val="center"/>
        <w:rPr>
          <w:rFonts w:ascii="方正小标宋简体" w:hAnsi="方正小标宋简体" w:eastAsia="方正小标宋简体" w:cs="方正小标宋简体"/>
          <w:i/>
          <w:sz w:val="32"/>
          <w:szCs w:val="32"/>
          <w:u w:val="single"/>
        </w:rPr>
      </w:pPr>
      <w:r>
        <w:rPr>
          <w:rFonts w:hint="eastAsia" w:ascii="方正小标宋简体" w:hAnsi="方正小标宋简体" w:eastAsia="方正小标宋简体" w:cs="方正小标宋简体"/>
          <w:sz w:val="32"/>
          <w:szCs w:val="32"/>
        </w:rPr>
        <w:t>乐山一中校园树木修剪服务项目报价表</w:t>
      </w:r>
    </w:p>
    <w:p/>
    <w:p>
      <w:pPr>
        <w:spacing w:line="380" w:lineRule="exact"/>
        <w:jc w:val="left"/>
        <w:rPr>
          <w:rFonts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乐山一中校园树木修剪服务项目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LSYZLC(2023）-03号            </w:t>
      </w:r>
    </w:p>
    <w:p>
      <w:pPr>
        <w:spacing w:line="380" w:lineRule="exact"/>
        <w:jc w:val="left"/>
        <w:rPr>
          <w:rFonts w:ascii="宋体" w:hAnsi="宋体" w:cs="宋体"/>
        </w:rPr>
      </w:pPr>
    </w:p>
    <w:tbl>
      <w:tblPr>
        <w:tblStyle w:val="11"/>
        <w:tblW w:w="9610" w:type="dxa"/>
        <w:tblInd w:w="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1"/>
        <w:gridCol w:w="5809"/>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2521" w:type="dxa"/>
            <w:tcBorders>
              <w:bottom w:val="single" w:color="000000" w:sz="4" w:space="0"/>
              <w:right w:val="single" w:color="000000" w:sz="4" w:space="0"/>
            </w:tcBorders>
          </w:tcPr>
          <w:p>
            <w:pPr>
              <w:widowControl/>
              <w:kinsoku w:val="0"/>
              <w:autoSpaceDE w:val="0"/>
              <w:autoSpaceDN w:val="0"/>
              <w:adjustRightInd w:val="0"/>
              <w:snapToGrid w:val="0"/>
              <w:spacing w:line="360" w:lineRule="exact"/>
              <w:textAlignment w:val="baseline"/>
              <w:rPr>
                <w:rFonts w:ascii="Arial"/>
              </w:rPr>
            </w:pPr>
          </w:p>
          <w:p>
            <w:pPr>
              <w:pStyle w:val="26"/>
              <w:widowControl/>
              <w:kinsoku w:val="0"/>
              <w:autoSpaceDE w:val="0"/>
              <w:autoSpaceDN w:val="0"/>
              <w:adjustRightInd w:val="0"/>
              <w:snapToGrid w:val="0"/>
              <w:spacing w:line="360" w:lineRule="exact"/>
              <w:jc w:val="center"/>
              <w:textAlignment w:val="baseline"/>
            </w:pPr>
            <w:r>
              <w:rPr>
                <w:b/>
                <w:bCs/>
                <w:spacing w:val="6"/>
              </w:rPr>
              <w:t>投标人名称</w:t>
            </w:r>
          </w:p>
        </w:tc>
        <w:tc>
          <w:tcPr>
            <w:tcW w:w="5809" w:type="dxa"/>
            <w:tcBorders>
              <w:left w:val="single" w:color="000000" w:sz="4" w:space="0"/>
              <w:bottom w:val="single" w:color="000000" w:sz="4" w:space="0"/>
              <w:right w:val="single" w:color="000000" w:sz="4" w:space="0"/>
            </w:tcBorders>
          </w:tcPr>
          <w:p>
            <w:pPr>
              <w:widowControl/>
              <w:kinsoku w:val="0"/>
              <w:autoSpaceDE w:val="0"/>
              <w:autoSpaceDN w:val="0"/>
              <w:adjustRightInd w:val="0"/>
              <w:snapToGrid w:val="0"/>
              <w:spacing w:line="360" w:lineRule="exact"/>
              <w:textAlignment w:val="baseline"/>
              <w:rPr>
                <w:rFonts w:ascii="Arial"/>
              </w:rPr>
            </w:pPr>
          </w:p>
          <w:p>
            <w:pPr>
              <w:pStyle w:val="26"/>
              <w:widowControl/>
              <w:kinsoku w:val="0"/>
              <w:autoSpaceDE w:val="0"/>
              <w:autoSpaceDN w:val="0"/>
              <w:adjustRightInd w:val="0"/>
              <w:snapToGrid w:val="0"/>
              <w:spacing w:line="360" w:lineRule="exact"/>
              <w:jc w:val="center"/>
              <w:textAlignment w:val="baseline"/>
            </w:pPr>
            <w:r>
              <w:rPr>
                <w:b/>
                <w:bCs/>
                <w:spacing w:val="6"/>
                <w:lang w:eastAsia="zh-CN"/>
              </w:rPr>
              <w:t>投标</w:t>
            </w:r>
            <w:r>
              <w:rPr>
                <w:rFonts w:hint="eastAsia"/>
                <w:b/>
                <w:bCs/>
                <w:spacing w:val="6"/>
                <w:lang w:eastAsia="zh-CN"/>
              </w:rPr>
              <w:t>价格</w:t>
            </w:r>
          </w:p>
        </w:tc>
        <w:tc>
          <w:tcPr>
            <w:tcW w:w="1280" w:type="dxa"/>
            <w:tcBorders>
              <w:left w:val="single" w:color="000000" w:sz="4" w:space="0"/>
              <w:bottom w:val="single" w:color="000000" w:sz="4" w:space="0"/>
            </w:tcBorders>
          </w:tcPr>
          <w:p>
            <w:pPr>
              <w:widowControl/>
              <w:kinsoku w:val="0"/>
              <w:autoSpaceDE w:val="0"/>
              <w:autoSpaceDN w:val="0"/>
              <w:adjustRightInd w:val="0"/>
              <w:snapToGrid w:val="0"/>
              <w:spacing w:line="360" w:lineRule="exact"/>
              <w:textAlignment w:val="baseline"/>
              <w:rPr>
                <w:rFonts w:ascii="Arial"/>
              </w:rPr>
            </w:pPr>
          </w:p>
          <w:p>
            <w:pPr>
              <w:pStyle w:val="26"/>
              <w:widowControl/>
              <w:kinsoku w:val="0"/>
              <w:autoSpaceDE w:val="0"/>
              <w:autoSpaceDN w:val="0"/>
              <w:adjustRightInd w:val="0"/>
              <w:snapToGrid w:val="0"/>
              <w:spacing w:line="360" w:lineRule="exact"/>
              <w:jc w:val="center"/>
              <w:textAlignment w:val="baseline"/>
            </w:pPr>
            <w:r>
              <w:rPr>
                <w:b/>
                <w:bCs/>
                <w:spacing w:val="2"/>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0" w:hRule="atLeast"/>
        </w:trPr>
        <w:tc>
          <w:tcPr>
            <w:tcW w:w="2521" w:type="dxa"/>
            <w:tcBorders>
              <w:top w:val="single" w:color="000000" w:sz="4" w:space="0"/>
              <w:bottom w:val="single" w:color="000000" w:sz="4" w:space="0"/>
              <w:right w:val="single" w:color="000000" w:sz="4" w:space="0"/>
            </w:tcBorders>
          </w:tcPr>
          <w:p>
            <w:pPr>
              <w:widowControl/>
              <w:kinsoku w:val="0"/>
              <w:autoSpaceDE w:val="0"/>
              <w:autoSpaceDN w:val="0"/>
              <w:adjustRightInd w:val="0"/>
              <w:snapToGrid w:val="0"/>
              <w:spacing w:line="360" w:lineRule="exact"/>
              <w:textAlignment w:val="baseline"/>
              <w:rPr>
                <w:rFonts w:ascii="Arial"/>
              </w:rPr>
            </w:pPr>
          </w:p>
        </w:tc>
        <w:tc>
          <w:tcPr>
            <w:tcW w:w="5809" w:type="dxa"/>
            <w:tcBorders>
              <w:top w:val="single" w:color="000000" w:sz="4" w:space="0"/>
              <w:left w:val="single" w:color="000000" w:sz="4" w:space="0"/>
              <w:bottom w:val="single" w:color="000000" w:sz="4" w:space="0"/>
              <w:right w:val="single" w:color="000000" w:sz="4" w:space="0"/>
            </w:tcBorders>
          </w:tcPr>
          <w:p>
            <w:pPr>
              <w:pStyle w:val="26"/>
              <w:widowControl/>
              <w:kinsoku w:val="0"/>
              <w:autoSpaceDE w:val="0"/>
              <w:autoSpaceDN w:val="0"/>
              <w:adjustRightInd w:val="0"/>
              <w:snapToGrid w:val="0"/>
              <w:spacing w:line="360" w:lineRule="exact"/>
              <w:textAlignment w:val="baseline"/>
              <w:rPr>
                <w:i/>
                <w:iCs/>
                <w:spacing w:val="13"/>
              </w:rPr>
            </w:pPr>
          </w:p>
          <w:p>
            <w:pPr>
              <w:pStyle w:val="26"/>
              <w:widowControl/>
              <w:kinsoku w:val="0"/>
              <w:autoSpaceDE w:val="0"/>
              <w:autoSpaceDN w:val="0"/>
              <w:adjustRightInd w:val="0"/>
              <w:snapToGrid w:val="0"/>
              <w:spacing w:line="360" w:lineRule="exact"/>
              <w:textAlignment w:val="baseline"/>
              <w:rPr>
                <w:i/>
                <w:iCs/>
                <w:spacing w:val="13"/>
              </w:rPr>
            </w:pPr>
            <w:r>
              <w:rPr>
                <w:i/>
                <w:iCs/>
                <w:spacing w:val="13"/>
              </w:rPr>
              <w:t>小写：</w:t>
            </w:r>
            <w:r>
              <w:rPr>
                <w:spacing w:val="20"/>
                <w:u w:val="single"/>
              </w:rPr>
              <w:t xml:space="preserve">    </w:t>
            </w:r>
            <w:r>
              <w:rPr>
                <w:rFonts w:hint="eastAsia"/>
                <w:spacing w:val="20"/>
                <w:u w:val="single"/>
                <w:lang w:eastAsia="zh-CN"/>
              </w:rPr>
              <w:t xml:space="preserve">          </w:t>
            </w:r>
            <w:r>
              <w:rPr>
                <w:spacing w:val="20"/>
                <w:u w:val="single"/>
              </w:rPr>
              <w:t xml:space="preserve"> </w:t>
            </w:r>
            <w:r>
              <w:rPr>
                <w:i/>
                <w:iCs/>
                <w:spacing w:val="13"/>
                <w:u w:val="single"/>
              </w:rPr>
              <w:t>元</w:t>
            </w:r>
          </w:p>
          <w:p>
            <w:pPr>
              <w:pStyle w:val="26"/>
              <w:widowControl/>
              <w:kinsoku w:val="0"/>
              <w:autoSpaceDE w:val="0"/>
              <w:autoSpaceDN w:val="0"/>
              <w:adjustRightInd w:val="0"/>
              <w:snapToGrid w:val="0"/>
              <w:spacing w:line="360" w:lineRule="exact"/>
              <w:textAlignment w:val="baseline"/>
              <w:rPr>
                <w:i/>
                <w:iCs/>
                <w:spacing w:val="13"/>
                <w:lang w:eastAsia="zh-CN"/>
              </w:rPr>
            </w:pPr>
          </w:p>
          <w:p>
            <w:pPr>
              <w:widowControl/>
              <w:kinsoku w:val="0"/>
              <w:autoSpaceDE w:val="0"/>
              <w:autoSpaceDN w:val="0"/>
              <w:adjustRightInd w:val="0"/>
              <w:snapToGrid w:val="0"/>
              <w:spacing w:line="360" w:lineRule="exact"/>
              <w:textAlignment w:val="baseline"/>
              <w:rPr>
                <w:rFonts w:ascii="Arial"/>
              </w:rPr>
            </w:pPr>
            <w:r>
              <w:rPr>
                <w:i/>
                <w:iCs/>
                <w:spacing w:val="13"/>
              </w:rPr>
              <w:t>大写：</w:t>
            </w:r>
            <w:r>
              <w:rPr>
                <w:spacing w:val="21"/>
                <w:u w:val="single"/>
              </w:rPr>
              <w:t xml:space="preserve">    </w:t>
            </w:r>
            <w:r>
              <w:rPr>
                <w:rFonts w:hint="eastAsia"/>
                <w:spacing w:val="21"/>
                <w:u w:val="single"/>
              </w:rPr>
              <w:t xml:space="preserve">            </w:t>
            </w:r>
            <w:r>
              <w:rPr>
                <w:spacing w:val="21"/>
                <w:u w:val="single"/>
              </w:rPr>
              <w:t xml:space="preserve"> </w:t>
            </w:r>
            <w:r>
              <w:rPr>
                <w:i/>
                <w:iCs/>
                <w:spacing w:val="13"/>
                <w:u w:val="single"/>
              </w:rPr>
              <w:t>元</w:t>
            </w:r>
          </w:p>
        </w:tc>
        <w:tc>
          <w:tcPr>
            <w:tcW w:w="1280"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line="360" w:lineRule="exact"/>
              <w:textAlignment w:val="baseline"/>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5" w:hRule="atLeast"/>
        </w:trPr>
        <w:tc>
          <w:tcPr>
            <w:tcW w:w="9610" w:type="dxa"/>
            <w:gridSpan w:val="3"/>
            <w:tcBorders>
              <w:top w:val="single" w:color="000000" w:sz="4" w:space="0"/>
            </w:tcBorders>
          </w:tcPr>
          <w:p>
            <w:pPr>
              <w:pStyle w:val="26"/>
              <w:widowControl/>
              <w:kinsoku w:val="0"/>
              <w:autoSpaceDE w:val="0"/>
              <w:autoSpaceDN w:val="0"/>
              <w:adjustRightInd w:val="0"/>
              <w:snapToGrid w:val="0"/>
              <w:spacing w:line="360" w:lineRule="exact"/>
              <w:textAlignment w:val="baseline"/>
              <w:rPr>
                <w:lang w:eastAsia="zh-CN"/>
              </w:rPr>
            </w:pPr>
            <w:r>
              <w:rPr>
                <w:b/>
                <w:bCs/>
                <w:spacing w:val="1"/>
                <w:lang w:eastAsia="zh-CN"/>
              </w:rPr>
              <w:t>说明：</w:t>
            </w:r>
          </w:p>
          <w:p>
            <w:pPr>
              <w:pStyle w:val="5"/>
              <w:widowControl/>
              <w:kinsoku w:val="0"/>
              <w:autoSpaceDE w:val="0"/>
              <w:autoSpaceDN w:val="0"/>
              <w:adjustRightInd w:val="0"/>
              <w:snapToGrid w:val="0"/>
              <w:spacing w:line="360" w:lineRule="exact"/>
              <w:ind w:firstLine="210" w:firstLineChars="100"/>
              <w:textAlignment w:val="baseline"/>
            </w:pPr>
            <w:r>
              <w:rPr>
                <w:rFonts w:hint="eastAsia"/>
              </w:rPr>
              <w:t>所报总价应包含成本、机械、吊车、绿化垃圾运输、油料、搭架费、税费、利润等所有费用。报价要求：超过最高限价为无效报价，对低于该项目控制价的50%的。有可能影响服务质量或者不能诚信履约的，应当将其作为无效处理。本项目采用一次性报价方式，按照低价中标原则，选定中标单位。</w:t>
            </w:r>
          </w:p>
        </w:tc>
      </w:tr>
    </w:tbl>
    <w:p>
      <w:pPr>
        <w:pStyle w:val="6"/>
        <w:ind w:firstLine="0" w:firstLineChars="0"/>
        <w:rPr>
          <w:rFonts w:ascii="宋体" w:hAnsi="宋体" w:cs="宋体"/>
        </w:rPr>
      </w:pPr>
    </w:p>
    <w:p>
      <w:pPr>
        <w:spacing w:line="380" w:lineRule="exact"/>
        <w:jc w:val="left"/>
        <w:rPr>
          <w:rFonts w:ascii="宋体" w:hAnsi="宋体" w:cs="宋体"/>
          <w:szCs w:val="21"/>
        </w:rPr>
      </w:pPr>
    </w:p>
    <w:p>
      <w:pPr>
        <w:spacing w:line="380" w:lineRule="exact"/>
        <w:jc w:val="left"/>
        <w:rPr>
          <w:rFonts w:ascii="宋体" w:hAnsi="宋体" w:cs="宋体"/>
          <w:szCs w:val="21"/>
        </w:rPr>
      </w:pPr>
      <w:r>
        <w:rPr>
          <w:rFonts w:hint="eastAsia" w:ascii="宋体" w:hAnsi="宋体" w:cs="宋体"/>
          <w:szCs w:val="21"/>
        </w:rPr>
        <w:t>注：1、本报价是供应商为完成本项目、达到文件的具体项目需求的所有费用，已包括所有相关税费。采购人在项目结算时不再向成交供应商支付其他任何费用。</w:t>
      </w:r>
    </w:p>
    <w:p>
      <w:pPr>
        <w:spacing w:line="380" w:lineRule="exact"/>
        <w:ind w:firstLine="420" w:firstLineChars="200"/>
        <w:jc w:val="left"/>
        <w:rPr>
          <w:rFonts w:ascii="宋体" w:hAnsi="宋体" w:cs="宋体"/>
          <w:szCs w:val="21"/>
        </w:rPr>
      </w:pPr>
      <w:r>
        <w:rPr>
          <w:rFonts w:hint="eastAsia" w:ascii="宋体" w:hAnsi="宋体" w:cs="宋体"/>
          <w:szCs w:val="21"/>
        </w:rPr>
        <w:t>2、此表，由供应商在投标文件中一并提供；</w:t>
      </w:r>
    </w:p>
    <w:p>
      <w:pPr>
        <w:ind w:firstLine="420" w:firstLineChars="200"/>
        <w:jc w:val="left"/>
        <w:rPr>
          <w:rFonts w:ascii="宋体" w:hAnsi="宋体" w:cs="宋体"/>
        </w:rPr>
      </w:pPr>
    </w:p>
    <w:p>
      <w:pPr>
        <w:pStyle w:val="8"/>
        <w:spacing w:after="0" w:line="380" w:lineRule="exact"/>
        <w:ind w:left="0" w:leftChars="0"/>
        <w:rPr>
          <w:rFonts w:ascii="宋体" w:hAnsi="宋体" w:cs="宋体"/>
          <w:bCs/>
        </w:rPr>
      </w:pPr>
      <w:r>
        <w:rPr>
          <w:rFonts w:hint="eastAsia" w:ascii="宋体" w:hAnsi="宋体" w:cs="宋体"/>
          <w:bCs/>
        </w:rPr>
        <w:t>供应商名称：</w:t>
      </w:r>
      <w:r>
        <w:rPr>
          <w:rFonts w:hint="eastAsia" w:ascii="宋体" w:hAnsi="宋体" w:cs="宋体"/>
          <w:bCs/>
          <w:u w:val="single"/>
        </w:rPr>
        <w:t xml:space="preserve">                </w:t>
      </w:r>
    </w:p>
    <w:p>
      <w:pPr>
        <w:rPr>
          <w:rFonts w:ascii="宋体" w:hAnsi="宋体" w:cs="宋体"/>
        </w:rPr>
      </w:pPr>
      <w:r>
        <w:rPr>
          <w:rFonts w:hint="eastAsia" w:ascii="宋体" w:hAnsi="宋体" w:cs="宋体"/>
        </w:rPr>
        <w:t>法定代表人或授权代表：</w:t>
      </w:r>
      <w:r>
        <w:rPr>
          <w:rFonts w:hint="eastAsia" w:ascii="宋体" w:hAnsi="宋体" w:cs="宋体"/>
          <w:u w:val="single"/>
        </w:rPr>
        <w:t xml:space="preserve">              </w:t>
      </w:r>
      <w:r>
        <w:rPr>
          <w:rFonts w:hint="eastAsia" w:ascii="宋体" w:hAnsi="宋体" w:cs="宋体"/>
        </w:rPr>
        <w:t>（签字或加盖个人名章）</w:t>
      </w:r>
    </w:p>
    <w:p>
      <w:pPr>
        <w:spacing w:line="380" w:lineRule="exact"/>
        <w:jc w:val="left"/>
        <w:rPr>
          <w:rFonts w:ascii="宋体" w:hAnsi="宋体" w:cs="宋体"/>
          <w:szCs w:val="21"/>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ind w:firstLine="315" w:firstLineChars="150"/>
        <w:jc w:val="center"/>
        <w:rPr>
          <w:rFonts w:ascii="宋体"/>
        </w:rPr>
      </w:pPr>
      <w:r>
        <w:rPr>
          <w:rFonts w:ascii="宋体"/>
        </w:rPr>
        <w:br w:type="page"/>
      </w: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rPr>
      </w:pPr>
    </w:p>
    <w:p>
      <w:pPr>
        <w:spacing w:line="500" w:lineRule="exact"/>
        <w:jc w:val="left"/>
        <w:rPr>
          <w:rFonts w:ascii="宋体"/>
          <w:sz w:val="24"/>
          <w:u w:val="single"/>
        </w:rPr>
      </w:pPr>
      <w:r>
        <w:rPr>
          <w:rFonts w:hint="eastAsia" w:ascii="宋体"/>
          <w:sz w:val="24"/>
        </w:rPr>
        <w:t>法定代表人：</w:t>
      </w:r>
      <w:r>
        <w:rPr>
          <w:rFonts w:hint="eastAsia" w:ascii="宋体"/>
          <w:sz w:val="24"/>
          <w:u w:val="single"/>
        </w:rPr>
        <w:t xml:space="preserve">（签字）                          </w:t>
      </w:r>
    </w:p>
    <w:p>
      <w:pPr>
        <w:pStyle w:val="5"/>
        <w:rPr>
          <w:rFonts w:ascii="宋体"/>
          <w:sz w:val="24"/>
          <w:u w:val="single"/>
        </w:rPr>
      </w:pPr>
    </w:p>
    <w:p>
      <w:pPr>
        <w:pStyle w:val="5"/>
      </w:pPr>
      <w:r>
        <w:rPr>
          <w:rFonts w:hint="eastAsia" w:ascii="宋体"/>
          <w:sz w:val="24"/>
          <w:u w:val="single"/>
        </w:rPr>
        <w:t xml:space="preserve">代理人：（签字）                              </w:t>
      </w:r>
    </w:p>
    <w:p>
      <w:pPr>
        <w:spacing w:line="500" w:lineRule="exact"/>
        <w:jc w:val="left"/>
        <w:rPr>
          <w:rFonts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8"/>
        <w:snapToGrid w:val="0"/>
        <w:spacing w:after="0" w:line="360" w:lineRule="auto"/>
        <w:jc w:val="center"/>
        <w:rPr>
          <w:rFonts w:ascii="宋体"/>
          <w:color w:val="000000"/>
          <w:sz w:val="24"/>
        </w:rPr>
      </w:pPr>
    </w:p>
    <w:p>
      <w:pPr>
        <w:spacing w:line="360" w:lineRule="auto"/>
        <w:jc w:val="cente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pPr>
    </w:p>
    <w:p>
      <w:pPr>
        <w:spacing w:line="360" w:lineRule="auto"/>
        <w:rPr>
          <w:rFonts w:ascii="宋体" w:hAnsi="宋体"/>
          <w:b/>
          <w:sz w:val="32"/>
          <w:szCs w:val="32"/>
        </w:rPr>
      </w:pPr>
      <w:r>
        <w:rPr>
          <w:rFonts w:hint="eastAsia" w:ascii="宋体" w:hAnsi="宋体"/>
          <w:b/>
          <w:sz w:val="32"/>
          <w:szCs w:val="32"/>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720" w:firstLineChars="4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720" w:firstLineChars="4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720" w:firstLineChars="4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rPr>
        <w:t xml:space="preserve">               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4"/>
        <w:jc w:val="left"/>
        <w:rPr>
          <w:rFonts w:hint="eastAsia" w:ascii="宋体" w:hAnsi="宋体" w:cs="宋体"/>
          <w:lang w:val="en-US" w:eastAsia="zh-CN"/>
        </w:rPr>
      </w:pPr>
      <w:bookmarkStart w:id="0" w:name="_Toc2936"/>
      <w:bookmarkStart w:id="1" w:name="_Toc13093"/>
      <w:bookmarkStart w:id="2" w:name="_Toc29652"/>
      <w:bookmarkStart w:id="3" w:name="_Toc9127"/>
      <w:bookmarkStart w:id="4" w:name="_Toc11384"/>
      <w:bookmarkStart w:id="5" w:name="_Toc439699520"/>
      <w:bookmarkStart w:id="6" w:name="_Toc20543"/>
      <w:bookmarkStart w:id="7" w:name="_Toc32281"/>
      <w:bookmarkStart w:id="8" w:name="_Toc15332"/>
      <w:bookmarkStart w:id="9" w:name="_Toc15243"/>
      <w:r>
        <w:rPr>
          <w:rFonts w:hint="eastAsia" w:ascii="宋体" w:hAnsi="宋体" w:eastAsiaTheme="minorEastAsia" w:cstheme="minorBidi"/>
          <w:b/>
          <w:bCs w:val="0"/>
          <w:kern w:val="2"/>
          <w:sz w:val="32"/>
          <w:szCs w:val="32"/>
          <w:lang w:val="en-US" w:eastAsia="zh-CN" w:bidi="ar-SA"/>
        </w:rPr>
        <w:t>附件四</w:t>
      </w:r>
      <w:r>
        <w:rPr>
          <w:rFonts w:hint="eastAsia" w:ascii="宋体" w:hAnsi="宋体" w:cs="宋体"/>
          <w:lang w:val="en-US" w:eastAsia="zh-CN"/>
        </w:rPr>
        <w:t xml:space="preserve"> ：            </w:t>
      </w:r>
    </w:p>
    <w:p>
      <w:pPr>
        <w:pStyle w:val="4"/>
        <w:jc w:val="center"/>
        <w:rPr>
          <w:rFonts w:hint="eastAsia" w:ascii="宋体" w:hAnsi="宋体" w:cs="宋体"/>
        </w:rPr>
      </w:pPr>
      <w:r>
        <w:rPr>
          <w:rFonts w:hint="eastAsia" w:ascii="宋体" w:hAnsi="宋体" w:cs="宋体"/>
        </w:rPr>
        <w:t>技术、服务、商务应答表</w:t>
      </w:r>
    </w:p>
    <w:p>
      <w:pPr>
        <w:spacing w:line="380" w:lineRule="exact"/>
        <w:jc w:val="center"/>
        <w:rPr>
          <w:rFonts w:hint="eastAsia" w:ascii="宋体" w:hAnsi="宋体" w:cs="宋体"/>
          <w:sz w:val="32"/>
          <w:szCs w:val="32"/>
        </w:rPr>
      </w:pPr>
      <w:r>
        <w:rPr>
          <w:rFonts w:hint="eastAsia" w:ascii="宋体" w:hAnsi="宋体" w:cs="宋体"/>
          <w:sz w:val="32"/>
          <w:szCs w:val="32"/>
          <w:u w:val="double"/>
        </w:rPr>
        <w:t>（必须提供）</w:t>
      </w:r>
    </w:p>
    <w:p>
      <w:pPr>
        <w:spacing w:line="380" w:lineRule="exact"/>
        <w:jc w:val="left"/>
        <w:rPr>
          <w:rFonts w:hint="eastAsia" w:ascii="宋体" w:hAnsi="宋体" w:cs="宋体"/>
        </w:rPr>
      </w:pPr>
    </w:p>
    <w:p>
      <w:pPr>
        <w:spacing w:line="380" w:lineRule="exact"/>
        <w:jc w:val="left"/>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pStyle w:val="27"/>
        <w:spacing w:line="240" w:lineRule="auto"/>
        <w:rPr>
          <w:rFonts w:hint="eastAsia" w:ascii="宋体" w:hAnsi="宋体" w:cs="宋体"/>
        </w:rPr>
      </w:pPr>
      <w:r>
        <w:rPr>
          <w:rFonts w:hint="eastAsia" w:ascii="宋体" w:hAnsi="宋体" w:cs="宋体"/>
        </w:rPr>
        <w:t>项目编号：</w:t>
      </w:r>
      <w:r>
        <w:rPr>
          <w:rFonts w:hint="eastAsia" w:ascii="宋体" w:hAnsi="宋体" w:cs="宋体"/>
          <w:u w:val="single"/>
        </w:rPr>
        <w:t xml:space="preserve">                   </w:t>
      </w:r>
      <w:r>
        <w:rPr>
          <w:rFonts w:hint="eastAsia" w:ascii="宋体" w:hAnsi="宋体" w:cs="宋体"/>
        </w:rPr>
        <w:t xml:space="preserve"> </w:t>
      </w:r>
    </w:p>
    <w:p>
      <w:pPr>
        <w:pStyle w:val="27"/>
        <w:spacing w:line="240" w:lineRule="auto"/>
        <w:rPr>
          <w:rFonts w:hint="eastAsia" w:ascii="宋体" w:hAnsi="宋体" w:cs="宋体"/>
          <w:sz w:val="28"/>
          <w:szCs w:val="28"/>
        </w:rPr>
      </w:pPr>
      <w:r>
        <w:rPr>
          <w:rFonts w:hint="eastAsia" w:ascii="宋体" w:hAnsi="宋体" w:cs="宋体"/>
        </w:rPr>
        <w:t xml:space="preserve">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495"/>
        <w:gridCol w:w="18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序号</w:t>
            </w:r>
          </w:p>
        </w:tc>
        <w:tc>
          <w:tcPr>
            <w:tcW w:w="4495"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磋商文件要求</w:t>
            </w:r>
          </w:p>
        </w:tc>
        <w:tc>
          <w:tcPr>
            <w:tcW w:w="1860"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磋商响应应答</w:t>
            </w:r>
          </w:p>
        </w:tc>
        <w:tc>
          <w:tcPr>
            <w:tcW w:w="1158"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1</w:t>
            </w:r>
          </w:p>
          <w:p>
            <w:pPr>
              <w:spacing w:line="240" w:lineRule="exact"/>
              <w:rPr>
                <w:rFonts w:hint="eastAsia" w:ascii="宋体" w:hAnsi="宋体" w:cs="宋体"/>
                <w:sz w:val="21"/>
                <w:szCs w:val="21"/>
              </w:rPr>
            </w:pPr>
          </w:p>
        </w:tc>
        <w:tc>
          <w:tcPr>
            <w:tcW w:w="4495" w:type="dxa"/>
            <w:noWrap w:val="0"/>
            <w:vAlign w:val="center"/>
          </w:tcPr>
          <w:p>
            <w:pPr>
              <w:keepNext w:val="0"/>
              <w:keepLines w:val="0"/>
              <w:pageBreakBefore w:val="0"/>
              <w:widowControl/>
              <w:shd w:val="clear" w:color="000000" w:fill="FFFFFF"/>
              <w:kinsoku/>
              <w:wordWrap/>
              <w:overflowPunct/>
              <w:topLinePunct w:val="0"/>
              <w:autoSpaceDE/>
              <w:autoSpaceDN/>
              <w:bidi w:val="0"/>
              <w:adjustRightInd/>
              <w:snapToGrid/>
              <w:spacing w:line="360" w:lineRule="exact"/>
              <w:jc w:val="left"/>
              <w:textAlignment w:val="auto"/>
              <w:rPr>
                <w:rFonts w:hint="eastAsia" w:ascii="宋体" w:hAnsi="宋体" w:cs="宋体"/>
                <w:b/>
                <w:kern w:val="1"/>
                <w:sz w:val="21"/>
                <w:szCs w:val="21"/>
              </w:rPr>
            </w:pPr>
            <w:r>
              <w:rPr>
                <w:rFonts w:hint="eastAsia" w:ascii="宋体" w:hAnsi="宋体" w:cs="宋体"/>
                <w:b/>
                <w:sz w:val="21"/>
                <w:szCs w:val="21"/>
              </w:rPr>
              <w:t xml:space="preserve"> </w:t>
            </w:r>
            <w:r>
              <w:rPr>
                <w:rFonts w:hint="eastAsia" w:ascii="宋体" w:hAnsi="宋体" w:cs="宋体"/>
                <w:b/>
                <w:kern w:val="1"/>
                <w:sz w:val="21"/>
                <w:szCs w:val="21"/>
              </w:rPr>
              <w:t>相关商务要求：</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1、供应商在施工期间不得影响学校的正常教学工作，上课时间应当避开教学区域，节假日才进行教学区域的树木修剪作业；</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2、对每棵树木的修剪标准必须征得学校相关部门负责人的同意后实施，不得擅自处理，修剪结果必须符合学校要求。树木修剪应采取片区作业的方式进行，树木修剪区域应设立醒目的标识，并对周边区域进行封闭；</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3、施工期间不得影响全校师生及相关车辆的正常通行；</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4、施工期间必须设立安全员现场指导作业，并对现场安全工作负责，施工前应对周边建筑、设施、车辆做好安全保护工作，如因施工造成损坏的应照价赔偿；</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5、对修剪的枝干、枝叶必须及时进行清运处理，不得随意堆放；</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6、在对树木进行修剪前后，应当留存图像资料，施工完成后一并提交学校存档；</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rPr>
              <w:t>7、</w:t>
            </w:r>
            <w:r>
              <w:rPr>
                <w:rFonts w:hint="eastAsia" w:ascii="仿宋" w:hAnsi="仿宋" w:eastAsia="仿宋" w:cs="仿宋"/>
                <w:sz w:val="21"/>
                <w:szCs w:val="21"/>
                <w:lang w:eastAsia="zh-CN"/>
              </w:rPr>
              <w:t>修剪施工结束后，学校将组织相关部门进行验收，验收合格后，支付款项。验收不合格限期整改，施工期间对学校财产、师生安全造成损失的务必进行赔偿，拒不履行赔偿义务的，学校有权从服务费中进行扣除，服务费不足弥补学校损失的，还应按学校损失尚未弥补的部分支付赔偿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sz w:val="21"/>
                <w:szCs w:val="21"/>
              </w:rPr>
            </w:pPr>
          </w:p>
        </w:tc>
        <w:tc>
          <w:tcPr>
            <w:tcW w:w="1860" w:type="dxa"/>
            <w:noWrap w:val="0"/>
            <w:vAlign w:val="center"/>
          </w:tcPr>
          <w:p>
            <w:pPr>
              <w:spacing w:line="240" w:lineRule="exact"/>
              <w:ind w:left="277" w:hanging="277" w:hangingChars="132"/>
              <w:rPr>
                <w:rFonts w:hint="eastAsia" w:ascii="宋体" w:hAnsi="宋体" w:cs="宋体"/>
                <w:sz w:val="21"/>
                <w:szCs w:val="21"/>
              </w:rPr>
            </w:pPr>
          </w:p>
        </w:tc>
        <w:tc>
          <w:tcPr>
            <w:tcW w:w="1158" w:type="dxa"/>
            <w:noWrap w:val="0"/>
            <w:vAlign w:val="center"/>
          </w:tcPr>
          <w:p>
            <w:pPr>
              <w:spacing w:line="240" w:lineRule="exact"/>
              <w:ind w:left="277" w:hanging="277" w:hangingChars="132"/>
              <w:rPr>
                <w:rFonts w:hint="eastAsia" w:ascii="宋体" w:hAnsi="宋体" w:cs="宋体"/>
                <w:sz w:val="21"/>
                <w:szCs w:val="21"/>
              </w:rPr>
            </w:pPr>
          </w:p>
        </w:tc>
      </w:tr>
    </w:tbl>
    <w:p>
      <w:pPr>
        <w:ind w:left="540" w:leftChars="57" w:hanging="420" w:hangingChars="200"/>
        <w:rPr>
          <w:rFonts w:hint="eastAsia" w:ascii="宋体" w:hAnsi="宋体" w:cs="宋体"/>
        </w:rPr>
      </w:pPr>
    </w:p>
    <w:p>
      <w:pPr>
        <w:ind w:left="540" w:leftChars="57" w:hanging="420" w:hangingChars="200"/>
        <w:rPr>
          <w:rFonts w:hint="eastAsia" w:ascii="宋体" w:hAnsi="宋体" w:cs="宋体"/>
        </w:rPr>
      </w:pPr>
      <w:r>
        <w:rPr>
          <w:rFonts w:hint="eastAsia" w:ascii="宋体" w:hAnsi="宋体" w:cs="宋体"/>
        </w:rPr>
        <w:t>注：1、供应商必须据实填写，不得虚假应答，否则将取消成交资格。</w:t>
      </w:r>
    </w:p>
    <w:p>
      <w:pPr>
        <w:ind w:firstLine="630" w:firstLineChars="300"/>
        <w:rPr>
          <w:rFonts w:hint="eastAsia" w:ascii="宋体" w:hAnsi="宋体" w:cs="宋体"/>
        </w:rPr>
      </w:pPr>
      <w:r>
        <w:rPr>
          <w:rFonts w:hint="eastAsia" w:ascii="宋体" w:hAnsi="宋体" w:cs="宋体"/>
        </w:rPr>
        <w:t>2、供应商按</w:t>
      </w:r>
      <w:r>
        <w:rPr>
          <w:rFonts w:hint="eastAsia" w:ascii="宋体" w:hAnsi="宋体" w:cs="宋体"/>
          <w:lang w:eastAsia="zh-CN"/>
        </w:rPr>
        <w:t>比价</w:t>
      </w:r>
      <w:r>
        <w:rPr>
          <w:rFonts w:hint="eastAsia" w:ascii="宋体" w:hAnsi="宋体" w:cs="宋体"/>
        </w:rPr>
        <w:t>文件要求，认为应当提供相关佐证材料，佐证材料附于本页后。</w:t>
      </w:r>
    </w:p>
    <w:p>
      <w:pPr>
        <w:ind w:firstLine="420" w:firstLineChars="200"/>
        <w:rPr>
          <w:rFonts w:hint="eastAsia" w:ascii="宋体" w:hAnsi="宋体" w:cs="宋体"/>
        </w:rPr>
      </w:pPr>
      <w:r>
        <w:rPr>
          <w:rFonts w:hint="eastAsia" w:ascii="宋体" w:hAnsi="宋体" w:cs="宋体"/>
        </w:rPr>
        <w:t>3、供应商填制“响应应答”时，如完全响应且没有正、负偏离的，可填制“</w:t>
      </w:r>
      <w:r>
        <w:rPr>
          <w:rFonts w:hint="eastAsia" w:ascii="宋体" w:hAnsi="宋体" w:cs="宋体"/>
          <w:b/>
          <w:bCs/>
        </w:rPr>
        <w:t>完全响应</w:t>
      </w:r>
      <w:r>
        <w:rPr>
          <w:rFonts w:hint="eastAsia" w:ascii="宋体" w:hAnsi="宋体" w:cs="宋体"/>
        </w:rPr>
        <w:t>”；若有正偏离的，可只写出正偏离的具体内容，若有负偏离的，可只写出负偏离的具体内容，没有写出的其他的内容视同无偏离并完全响应；</w:t>
      </w:r>
    </w:p>
    <w:p>
      <w:pPr>
        <w:spacing w:line="400" w:lineRule="exact"/>
        <w:ind w:firstLine="420" w:firstLineChars="200"/>
        <w:rPr>
          <w:rFonts w:hint="eastAsia" w:ascii="宋体" w:hAnsi="宋体" w:cs="宋体"/>
        </w:rPr>
      </w:pPr>
      <w:r>
        <w:rPr>
          <w:rFonts w:hint="eastAsia" w:ascii="宋体" w:hAnsi="宋体" w:cs="宋体"/>
        </w:rPr>
        <w:t>4、偏离情况由供应商根据磋商响应应答实情，填写“</w:t>
      </w:r>
      <w:r>
        <w:rPr>
          <w:rFonts w:hint="eastAsia" w:ascii="宋体" w:hAnsi="宋体" w:cs="宋体"/>
          <w:b/>
          <w:bCs/>
        </w:rPr>
        <w:t>正偏离</w:t>
      </w:r>
      <w:r>
        <w:rPr>
          <w:rFonts w:hint="eastAsia" w:ascii="宋体" w:hAnsi="宋体" w:cs="宋体"/>
        </w:rPr>
        <w:t>”或“</w:t>
      </w:r>
      <w:r>
        <w:rPr>
          <w:rFonts w:hint="eastAsia" w:ascii="宋体" w:hAnsi="宋体" w:cs="宋体"/>
          <w:b/>
          <w:bCs/>
        </w:rPr>
        <w:t>负偏离</w:t>
      </w:r>
      <w:r>
        <w:rPr>
          <w:rFonts w:hint="eastAsia" w:ascii="宋体" w:hAnsi="宋体" w:cs="宋体"/>
        </w:rPr>
        <w:t>”或“</w:t>
      </w:r>
      <w:r>
        <w:rPr>
          <w:rFonts w:hint="eastAsia" w:ascii="宋体" w:hAnsi="宋体" w:cs="宋体"/>
          <w:b/>
          <w:bCs/>
        </w:rPr>
        <w:t>无偏离</w:t>
      </w:r>
      <w:r>
        <w:rPr>
          <w:rFonts w:hint="eastAsia" w:ascii="宋体" w:hAnsi="宋体" w:cs="宋体"/>
        </w:rPr>
        <w:t>”；</w:t>
      </w:r>
    </w:p>
    <w:p>
      <w:pPr>
        <w:spacing w:line="400" w:lineRule="exact"/>
        <w:ind w:firstLine="420" w:firstLineChars="200"/>
        <w:rPr>
          <w:rFonts w:hint="eastAsia" w:ascii="宋体" w:hAnsi="宋体" w:cs="宋体"/>
        </w:rPr>
      </w:pPr>
      <w:r>
        <w:rPr>
          <w:rFonts w:hint="eastAsia" w:ascii="宋体" w:hAnsi="宋体" w:cs="宋体"/>
        </w:rPr>
        <w:t>5、本表由供应商根据项目情况及自身编制情况，可用横版也可用竖版。</w:t>
      </w:r>
    </w:p>
    <w:p>
      <w:pPr>
        <w:pStyle w:val="8"/>
        <w:spacing w:after="0" w:line="380" w:lineRule="exact"/>
        <w:ind w:left="480" w:firstLine="420" w:firstLineChars="200"/>
        <w:rPr>
          <w:rFonts w:hint="eastAsia" w:ascii="宋体" w:hAnsi="宋体" w:cs="宋体"/>
          <w:bCs/>
        </w:rPr>
      </w:pPr>
    </w:p>
    <w:p>
      <w:pPr>
        <w:pStyle w:val="8"/>
        <w:spacing w:after="0" w:line="380" w:lineRule="exact"/>
        <w:ind w:left="480" w:firstLine="420" w:firstLineChars="200"/>
        <w:rPr>
          <w:rFonts w:hint="eastAsia" w:ascii="宋体" w:hAnsi="宋体" w:cs="宋体"/>
          <w:bCs/>
        </w:rPr>
      </w:pPr>
      <w:r>
        <w:rPr>
          <w:rFonts w:hint="eastAsia" w:ascii="宋体" w:hAnsi="宋体" w:cs="宋体"/>
          <w:bCs/>
        </w:rPr>
        <w:t>供应商名称：</w:t>
      </w:r>
      <w:r>
        <w:rPr>
          <w:rFonts w:hint="eastAsia" w:ascii="宋体" w:hAnsi="宋体" w:cs="宋体"/>
          <w:bCs/>
          <w:u w:val="single"/>
        </w:rPr>
        <w:t xml:space="preserve">                </w:t>
      </w:r>
      <w:r>
        <w:rPr>
          <w:rFonts w:hint="eastAsia" w:ascii="宋体" w:hAnsi="宋体" w:cs="宋体"/>
          <w:bCs/>
        </w:rPr>
        <w:t>（盖章）</w:t>
      </w:r>
    </w:p>
    <w:p>
      <w:pPr>
        <w:spacing w:line="360" w:lineRule="auto"/>
        <w:rPr>
          <w:rFonts w:hint="eastAsia" w:ascii="宋体" w:hAnsi="宋体" w:cs="宋体"/>
        </w:rPr>
      </w:pPr>
      <w:r>
        <w:rPr>
          <w:rFonts w:hint="eastAsia" w:ascii="宋体" w:hAnsi="宋体" w:cs="宋体"/>
        </w:rPr>
        <w:t xml:space="preserve">        法定代表人或授权代表：</w:t>
      </w:r>
      <w:r>
        <w:rPr>
          <w:rFonts w:hint="eastAsia" w:ascii="宋体" w:hAnsi="宋体" w:cs="宋体"/>
          <w:u w:val="single"/>
        </w:rPr>
        <w:t xml:space="preserve">              </w:t>
      </w:r>
      <w:r>
        <w:rPr>
          <w:rFonts w:hint="eastAsia" w:ascii="宋体" w:hAnsi="宋体" w:cs="宋体"/>
        </w:rPr>
        <w:t>（签字或加盖个人名章）</w:t>
      </w:r>
    </w:p>
    <w:p>
      <w:pPr>
        <w:pStyle w:val="8"/>
        <w:spacing w:after="0" w:line="380" w:lineRule="exact"/>
        <w:ind w:left="480" w:firstLine="420" w:firstLineChars="200"/>
        <w:rPr>
          <w:rFonts w:hint="eastAsia" w:ascii="宋体" w:hAnsi="宋体" w:cs="宋体"/>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bookmarkEnd w:id="0"/>
      <w:bookmarkEnd w:id="1"/>
      <w:bookmarkEnd w:id="2"/>
      <w:bookmarkEnd w:id="3"/>
      <w:bookmarkEnd w:id="4"/>
      <w:bookmarkEnd w:id="5"/>
      <w:bookmarkEnd w:id="6"/>
      <w:bookmarkEnd w:id="7"/>
      <w:bookmarkEnd w:id="8"/>
      <w:bookmarkEnd w:id="9"/>
    </w:p>
    <w:p>
      <w:pPr>
        <w:pStyle w:val="2"/>
      </w:pPr>
    </w:p>
    <w:p>
      <w:pPr>
        <w:pStyle w:val="5"/>
        <w:rPr>
          <w:rFonts w:ascii="仿宋" w:hAnsi="仿宋" w:eastAsia="仿宋" w:cs="仿宋"/>
          <w:bCs/>
          <w:sz w:val="18"/>
          <w:szCs w:val="1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D37275"/>
    <w:rsid w:val="003A4D57"/>
    <w:rsid w:val="006751E2"/>
    <w:rsid w:val="008B0856"/>
    <w:rsid w:val="00D37275"/>
    <w:rsid w:val="038C5899"/>
    <w:rsid w:val="09CB1D24"/>
    <w:rsid w:val="0C216D2C"/>
    <w:rsid w:val="0EB859DD"/>
    <w:rsid w:val="0FB53FBA"/>
    <w:rsid w:val="12D4769E"/>
    <w:rsid w:val="13166F71"/>
    <w:rsid w:val="1319248C"/>
    <w:rsid w:val="13EE4D25"/>
    <w:rsid w:val="1723084F"/>
    <w:rsid w:val="1A0613BD"/>
    <w:rsid w:val="1D666CF8"/>
    <w:rsid w:val="1EE645ED"/>
    <w:rsid w:val="1F6D44F4"/>
    <w:rsid w:val="1F9E3357"/>
    <w:rsid w:val="25DB486E"/>
    <w:rsid w:val="2C48047D"/>
    <w:rsid w:val="2E9E55DF"/>
    <w:rsid w:val="31B73586"/>
    <w:rsid w:val="344A1D72"/>
    <w:rsid w:val="359C5B20"/>
    <w:rsid w:val="35DE368E"/>
    <w:rsid w:val="36C00B5D"/>
    <w:rsid w:val="380A562F"/>
    <w:rsid w:val="39FF6E13"/>
    <w:rsid w:val="3B284F13"/>
    <w:rsid w:val="3C3C2F0E"/>
    <w:rsid w:val="41534DD6"/>
    <w:rsid w:val="42947CC4"/>
    <w:rsid w:val="441872F3"/>
    <w:rsid w:val="4D400E5C"/>
    <w:rsid w:val="4D4811E9"/>
    <w:rsid w:val="4E01219D"/>
    <w:rsid w:val="51D313C8"/>
    <w:rsid w:val="52546C74"/>
    <w:rsid w:val="52BF04E5"/>
    <w:rsid w:val="52D34AC0"/>
    <w:rsid w:val="568A4214"/>
    <w:rsid w:val="5B4E7E94"/>
    <w:rsid w:val="5CFE0C35"/>
    <w:rsid w:val="5F2B346B"/>
    <w:rsid w:val="66C05B00"/>
    <w:rsid w:val="6E7E4DAC"/>
    <w:rsid w:val="712338AD"/>
    <w:rsid w:val="75722B3E"/>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0"/>
    </w:rPr>
  </w:style>
  <w:style w:type="paragraph" w:styleId="5">
    <w:name w:val="Body Text"/>
    <w:basedOn w:val="1"/>
    <w:next w:val="6"/>
    <w:unhideWhenUsed/>
    <w:qFormat/>
    <w:uiPriority w:val="99"/>
    <w:pPr>
      <w:spacing w:after="120"/>
    </w:pPr>
  </w:style>
  <w:style w:type="paragraph" w:styleId="6">
    <w:name w:val="Body Text First Indent"/>
    <w:basedOn w:val="5"/>
    <w:qFormat/>
    <w:uiPriority w:val="99"/>
    <w:pPr>
      <w:ind w:firstLine="420" w:firstLineChars="100"/>
    </w:pPr>
  </w:style>
  <w:style w:type="paragraph" w:styleId="7">
    <w:name w:val="Plain Text"/>
    <w:basedOn w:val="1"/>
    <w:qFormat/>
    <w:uiPriority w:val="0"/>
    <w:rPr>
      <w:rFonts w:ascii="宋体" w:hAnsi="Courier New"/>
      <w:szCs w:val="20"/>
    </w:rPr>
  </w:style>
  <w:style w:type="paragraph" w:styleId="8">
    <w:name w:val="Body Text Indent 2"/>
    <w:basedOn w:val="1"/>
    <w:qFormat/>
    <w:uiPriority w:val="99"/>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FollowedHyperlink"/>
    <w:basedOn w:val="13"/>
    <w:qFormat/>
    <w:uiPriority w:val="0"/>
    <w:rPr>
      <w:color w:val="333333"/>
      <w:u w:val="none"/>
    </w:rPr>
  </w:style>
  <w:style w:type="character" w:styleId="16">
    <w:name w:val="Hyperlink"/>
    <w:basedOn w:val="13"/>
    <w:qFormat/>
    <w:uiPriority w:val="0"/>
    <w:rPr>
      <w:color w:val="333333"/>
      <w:u w:val="none"/>
    </w:rPr>
  </w:style>
  <w:style w:type="character" w:customStyle="1" w:styleId="17">
    <w:name w:val="org"/>
    <w:basedOn w:val="13"/>
    <w:qFormat/>
    <w:uiPriority w:val="0"/>
    <w:rPr>
      <w:color w:val="EB9D17"/>
    </w:rPr>
  </w:style>
  <w:style w:type="character" w:customStyle="1" w:styleId="18">
    <w:name w:val="moreimg"/>
    <w:basedOn w:val="13"/>
    <w:qFormat/>
    <w:uiPriority w:val="0"/>
  </w:style>
  <w:style w:type="character" w:customStyle="1" w:styleId="19">
    <w:name w:val="red"/>
    <w:basedOn w:val="13"/>
    <w:qFormat/>
    <w:uiPriority w:val="0"/>
    <w:rPr>
      <w:color w:val="CC0000"/>
    </w:rPr>
  </w:style>
  <w:style w:type="character" w:customStyle="1" w:styleId="20">
    <w:name w:val="dl"/>
    <w:basedOn w:val="13"/>
    <w:qFormat/>
    <w:uiPriority w:val="0"/>
  </w:style>
  <w:style w:type="character" w:customStyle="1" w:styleId="21">
    <w:name w:val="time"/>
    <w:basedOn w:val="13"/>
    <w:qFormat/>
    <w:uiPriority w:val="0"/>
    <w:rPr>
      <w:rFonts w:ascii="Arial" w:hAnsi="Arial" w:cs="Arial"/>
      <w:color w:val="333333"/>
      <w:sz w:val="12"/>
      <w:szCs w:val="12"/>
    </w:rPr>
  </w:style>
  <w:style w:type="character" w:customStyle="1" w:styleId="22">
    <w:name w:val="hd"/>
    <w:basedOn w:val="13"/>
    <w:qFormat/>
    <w:uiPriority w:val="0"/>
  </w:style>
  <w:style w:type="character" w:customStyle="1" w:styleId="23">
    <w:name w:val="ng"/>
    <w:basedOn w:val="13"/>
    <w:qFormat/>
    <w:uiPriority w:val="0"/>
  </w:style>
  <w:style w:type="paragraph" w:customStyle="1" w:styleId="24">
    <w:name w:val="正文首行缩进两字符"/>
    <w:basedOn w:val="1"/>
    <w:qFormat/>
    <w:uiPriority w:val="0"/>
    <w:pPr>
      <w:spacing w:line="360" w:lineRule="auto"/>
      <w:ind w:firstLine="200" w:firstLineChars="200"/>
    </w:pPr>
    <w:rPr>
      <w:rFonts w:ascii="Times New Roman" w:hAnsi="Times New Roman"/>
    </w:rPr>
  </w:style>
  <w:style w:type="paragraph" w:customStyle="1" w:styleId="25">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26">
    <w:name w:val="Table Text"/>
    <w:basedOn w:val="1"/>
    <w:semiHidden/>
    <w:qFormat/>
    <w:uiPriority w:val="0"/>
    <w:rPr>
      <w:rFonts w:ascii="宋体" w:hAnsi="宋体" w:eastAsia="宋体" w:cs="宋体"/>
      <w:sz w:val="24"/>
      <w:lang w:eastAsia="en-US"/>
    </w:rPr>
  </w:style>
  <w:style w:type="paragraph" w:customStyle="1" w:styleId="27">
    <w:name w:val="表格"/>
    <w:basedOn w:val="1"/>
    <w:qFormat/>
    <w:uiPriority w:val="0"/>
    <w:pPr>
      <w:spacing w:line="400" w:lineRule="exact"/>
    </w:pPr>
    <w:rPr>
      <w:sz w:val="24"/>
    </w:rPr>
  </w:style>
  <w:style w:type="paragraph" w:styleId="28">
    <w:name w:val="List Paragraph"/>
    <w:basedOn w:val="1"/>
    <w:qFormat/>
    <w:uiPriority w:val="34"/>
    <w:pPr>
      <w:ind w:firstLine="42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3225</Characters>
  <Lines>26</Lines>
  <Paragraphs>7</Paragraphs>
  <TotalTime>11</TotalTime>
  <ScaleCrop>false</ScaleCrop>
  <LinksUpToDate>false</LinksUpToDate>
  <CharactersWithSpaces>3783</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2023-05-31T00:52:26Z</cp:lastPrinted>
  <dcterms:modified xsi:type="dcterms:W3CDTF">2023-05-31T00:53:10Z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6A786FBEC96D4599984624E6E977A5AC</vt:lpwstr>
  </property>
</Properties>
</file>