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校园网络数字广播系统部分设备采购项目</w:t>
      </w:r>
    </w:p>
    <w:p>
      <w:pPr>
        <w:bidi w:val="0"/>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公开比价公告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2020</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校园网络数字广播系统部分设备采</w:t>
      </w:r>
      <w:r>
        <w:rPr>
          <w:rFonts w:hint="eastAsia" w:ascii="仿宋" w:hAnsi="仿宋" w:eastAsia="仿宋" w:cs="仿宋"/>
          <w:sz w:val="28"/>
          <w:szCs w:val="28"/>
        </w:rPr>
        <w:t>购项目</w:t>
      </w:r>
      <w:r>
        <w:rPr>
          <w:rFonts w:hint="eastAsia" w:ascii="仿宋" w:hAnsi="仿宋" w:eastAsia="仿宋" w:cs="仿宋"/>
          <w:sz w:val="28"/>
          <w:szCs w:val="28"/>
          <w:lang w:eastAsia="zh-CN"/>
        </w:rPr>
        <w:t>采用比价方式进行采购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w:t>
      </w:r>
      <w:r>
        <w:rPr>
          <w:rFonts w:hint="eastAsia" w:ascii="仿宋" w:hAnsi="仿宋" w:eastAsia="仿宋" w:cs="仿宋"/>
          <w:sz w:val="28"/>
          <w:szCs w:val="28"/>
          <w:lang w:val="en-US" w:eastAsia="zh-CN"/>
        </w:rPr>
        <w:t>乐山一开</w:t>
      </w:r>
      <w:r>
        <w:rPr>
          <w:rFonts w:hint="eastAsia" w:ascii="仿宋" w:hAnsi="仿宋" w:eastAsia="仿宋" w:cs="仿宋"/>
          <w:sz w:val="28"/>
          <w:szCs w:val="28"/>
          <w:lang w:eastAsia="zh-CN"/>
        </w:rPr>
        <w:t>校园网络数字广播系统部分设备采</w:t>
      </w:r>
      <w:r>
        <w:rPr>
          <w:rFonts w:hint="eastAsia" w:ascii="仿宋" w:hAnsi="仿宋" w:eastAsia="仿宋" w:cs="仿宋"/>
          <w:sz w:val="28"/>
          <w:szCs w:val="28"/>
        </w:rPr>
        <w:t>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：LSYZLC（2022）03号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四、采购预算及最高限价：3.95</w:t>
      </w:r>
      <w:r>
        <w:rPr>
          <w:rFonts w:hint="eastAsia" w:ascii="仿宋" w:hAnsi="仿宋" w:eastAsia="仿宋" w:cs="仿宋"/>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numPr>
          <w:ilvl w:val="0"/>
          <w:numId w:val="1"/>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numPr>
          <w:ilvl w:val="0"/>
          <w:numId w:val="0"/>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六、采购清单。（见附件一）</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七、商务要求（实质性要求）。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1、所投产品需提供《产品质量合格证》，质保期为一年；</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2、所提供的设备必须严格按照规格参数提供，并与现有校园网络数字广播系统对接兼容，达到实际使用需求，保证使用效果。</w:t>
      </w:r>
    </w:p>
    <w:p>
      <w:pPr>
        <w:ind w:firstLine="560" w:firstLineChars="200"/>
        <w:rPr>
          <w:rFonts w:hint="default"/>
          <w:lang w:val="en-US" w:eastAsia="zh-CN"/>
        </w:rPr>
      </w:pPr>
      <w:r>
        <w:rPr>
          <w:rFonts w:hint="eastAsia" w:ascii="仿宋" w:hAnsi="仿宋" w:eastAsia="仿宋" w:cs="仿宋"/>
          <w:sz w:val="28"/>
          <w:szCs w:val="28"/>
          <w:lang w:val="en-US" w:eastAsia="zh-CN"/>
        </w:rPr>
        <w:t>3、包安装，所有设备必须于2022年5月23日前安装完成。</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八、报名及投标文件的领取：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1、本项目不需报名，有意参加投标的供应商家按招标公告要求递交投标文件，文件自行下载。</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2、本投标邀请在四川省乐山第一中学校官网（http://www.sclsyz.cn）上以公告形式发布。</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见附件二），所报总价应包含运输、安装、税费等所有费用，并注明所投产品的品牌，报价要求：超过最高限价为无效报价，对低于该项目控制价的50%的。有可能影响产品质量或者不能诚信履约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3、法人代表授权书（附件三）、法人代表身份证复印件、授权代表身份证复印件（代表为法人的只需提供法人代表身份证复印件）；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五条投标人资格和条件资料或承诺函。（承诺函格式见附件四）</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投标供应商严格按照公告要求将投标文件规范密封后，于2022年</w:t>
      </w:r>
      <w:r>
        <w:rPr>
          <w:rFonts w:hint="eastAsia" w:ascii="仿宋" w:hAnsi="仿宋" w:eastAsia="仿宋" w:cs="仿宋"/>
          <w:sz w:val="28"/>
          <w:szCs w:val="28"/>
          <w:u w:val="single"/>
          <w:lang w:val="en-US" w:eastAsia="zh-CN"/>
        </w:rPr>
        <w:t xml:space="preserve">  05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17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sz w:val="30"/>
          <w:szCs w:val="30"/>
          <w:lang w:val="en-US" w:eastAsia="zh-CN"/>
        </w:rPr>
      </w:pPr>
      <w:r>
        <w:rPr>
          <w:rFonts w:hint="eastAsia" w:ascii="仿宋" w:hAnsi="仿宋" w:eastAsia="仿宋" w:cs="仿宋"/>
          <w:sz w:val="28"/>
          <w:szCs w:val="28"/>
          <w:lang w:val="en-US" w:eastAsia="zh-CN"/>
        </w:rPr>
        <w:t>2022年05月14日</w:t>
      </w: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附件一：</w:t>
      </w:r>
    </w:p>
    <w:p>
      <w:pPr>
        <w:spacing w:line="360" w:lineRule="auto"/>
        <w:jc w:val="center"/>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校园网络数字广播系统部分设备采购清单</w:t>
      </w:r>
    </w:p>
    <w:tbl>
      <w:tblPr>
        <w:tblStyle w:val="10"/>
        <w:tblpPr w:leftFromText="180" w:rightFromText="180" w:vertAnchor="text" w:horzAnchor="page" w:tblpX="1575" w:tblpY="196"/>
        <w:tblOverlap w:val="neve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5"/>
        <w:gridCol w:w="835"/>
        <w:gridCol w:w="4900"/>
        <w:gridCol w:w="675"/>
        <w:gridCol w:w="67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w:t>
            </w:r>
          </w:p>
        </w:tc>
        <w:tc>
          <w:tcPr>
            <w:tcW w:w="4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规格参数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网络终端解码器</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1、内置1路网络硬件音频解码模块，支持TCP/IP、UDP、IGMP(组播)协议，实现网络化传输16位CD音质的音频信号，可远程调整音量和IP地址。</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2、带本地话筒和线路扩音功能，且话筒、线路音量单独可调，带默音功能。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3、带有24V信号和短路信号报警输入接口。</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4、一路话筒输入、一组线路信号输入、一组线路信号输出。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5、带优先级切换功能，可以自主选择网络信号优先或网络和本地信号混音输出。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6、带USB接口，接入U盘后，用于播放本地节目。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7、支持四线制和三线制消防强切，内置24V强切电源。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8、带短路输出，可实现外部设备联动控制。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9、可选配信息推送功能，系统崩溃或网络瘫痪后，也可以自动执行任务，保证系统的平稳运行。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10、信噪比：＞80dB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11、支持协议：ARP、UDP、TCP/IP、ICMP、IGMP(组播)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12、网络输入接口：RJ45×1</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13、音频输出口：RCA×2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14、本地音频输入口：RCA×2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15、外接功放输出电源插座：（10A）×1</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16、本地扩声话筒输入口：TRS×1</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17、报警输入接口：短路、24V</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18、短路输出接口：1个</w:t>
            </w:r>
            <w:r>
              <w:rPr>
                <w:rFonts w:hint="eastAsia" w:ascii="宋体" w:hAnsi="宋体" w:eastAsia="宋体" w:cs="宋体"/>
                <w:i w:val="0"/>
                <w:iCs w:val="0"/>
                <w:color w:val="000000"/>
                <w:kern w:val="0"/>
                <w:sz w:val="22"/>
                <w:szCs w:val="22"/>
                <w:u w:val="none"/>
                <w:lang w:val="en-US" w:eastAsia="zh-CN" w:bidi="ar"/>
              </w:rPr>
              <w:t xml:space="preserve">  </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与现有校园广播系统兼容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1"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网络音频采集器</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 将音频输入接口输入的音频编码为采样率≥48K的高品质音频流，并通过IP广播系统将音频流传送到指定的IP广播终端进行播放。</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 面板带USB接口、SD卡接口，支持MP3\WAV\WMA格式的音乐播放。带5个工业金属控制按键，支持播放\暂停、上一曲\下一曲、循环、音源模式切换等功能操作。支持红外遥控功能（遥控器选配）。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 面板带12个可定义的快捷键，可将采集的信号快速的放给指定的区域或全区。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 面板带双液晶显示屏。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5、受控电源接口≥6路。其中4路能分别与四组立体声线路输入对应；2路能在有采集任务是受控打开，外接其他扩展设备。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 φ6.35话筒接口≥2路。每路均带48V幻像电源开关，每路的高低音调节、音量调节单独可控；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7、话筒2带默音调节功能；话筒1“想讲就讲”模式，话筒插入或开机，可快速实现全区讲话或语音广播。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7、立体声信号输入≥4组，每一路的音量单独可调；四组线路输入可单独进行音采集，也可以选择音乐播放模块的信号、话筒信号与线路输入进行混音。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8、信号输出≥2组，可连接有源监听音箱和外扩功放。</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9、网络接口：标准RJ45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10、信噪比：≥70dB</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与现有校园广播系统兼容</w:t>
            </w:r>
          </w:p>
        </w:tc>
      </w:tr>
    </w:tbl>
    <w:p>
      <w:pPr>
        <w:pStyle w:val="2"/>
        <w:rPr>
          <w:rFonts w:hint="eastAsia"/>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jc w:val="center"/>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校园网络数字广播系统部分设备采购项目</w:t>
      </w:r>
    </w:p>
    <w:p>
      <w:pPr>
        <w:spacing w:line="360" w:lineRule="auto"/>
        <w:jc w:val="center"/>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lang w:val="en-US" w:eastAsia="zh-CN"/>
        </w:rPr>
        <w:t>报价明细表</w:t>
      </w:r>
    </w:p>
    <w:p>
      <w:pPr>
        <w:spacing w:line="500" w:lineRule="exact"/>
        <w:rPr>
          <w:rFonts w:hint="eastAsia" w:ascii="宋体"/>
          <w:sz w:val="24"/>
        </w:rPr>
      </w:pPr>
    </w:p>
    <w:p>
      <w:pPr>
        <w:spacing w:line="500" w:lineRule="exact"/>
        <w:rPr>
          <w:rFonts w:hint="eastAsia" w:ascii="宋体"/>
          <w:sz w:val="24"/>
        </w:rPr>
      </w:pPr>
      <w:r>
        <w:rPr>
          <w:rFonts w:hint="eastAsia" w:ascii="宋体"/>
          <w:sz w:val="24"/>
        </w:rPr>
        <w:t>项目名称：</w:t>
      </w:r>
      <w:r>
        <w:rPr>
          <w:rFonts w:hint="eastAsia" w:ascii="宋体"/>
          <w:sz w:val="24"/>
          <w:u w:val="single"/>
          <w:lang w:val="en-US" w:eastAsia="zh-CN"/>
        </w:rPr>
        <w:t xml:space="preserve"> </w:t>
      </w:r>
      <w:r>
        <w:rPr>
          <w:rFonts w:hint="eastAsia" w:ascii="仿宋" w:hAnsi="仿宋" w:eastAsia="仿宋" w:cs="仿宋"/>
          <w:sz w:val="28"/>
          <w:szCs w:val="28"/>
          <w:u w:val="single"/>
          <w:lang w:eastAsia="zh-CN"/>
        </w:rPr>
        <w:t>校园网络数字广播系统部分设备采</w:t>
      </w:r>
      <w:r>
        <w:rPr>
          <w:rFonts w:hint="eastAsia" w:ascii="仿宋" w:hAnsi="仿宋" w:eastAsia="仿宋" w:cs="仿宋"/>
          <w:sz w:val="28"/>
          <w:szCs w:val="28"/>
          <w:u w:val="single"/>
        </w:rPr>
        <w:t>购项目</w:t>
      </w:r>
      <w:r>
        <w:rPr>
          <w:rFonts w:hint="eastAsia" w:ascii="宋体"/>
          <w:sz w:val="24"/>
          <w:u w:val="single"/>
          <w:lang w:val="en-US" w:eastAsia="zh-CN"/>
        </w:rPr>
        <w:t xml:space="preserve"> </w:t>
      </w:r>
      <w:r>
        <w:rPr>
          <w:rFonts w:hint="eastAsia" w:ascii="宋体"/>
          <w:sz w:val="24"/>
          <w:u w:val="single"/>
        </w:rPr>
        <w:t xml:space="preserve"> </w:t>
      </w:r>
    </w:p>
    <w:p>
      <w:pPr>
        <w:spacing w:line="500" w:lineRule="exact"/>
        <w:rPr>
          <w:rFonts w:ascii="宋体"/>
          <w:sz w:val="24"/>
        </w:rPr>
      </w:pPr>
      <w:r>
        <w:rPr>
          <w:rFonts w:hint="eastAsia" w:ascii="宋体"/>
          <w:sz w:val="24"/>
        </w:rPr>
        <w:t xml:space="preserve"> </w:t>
      </w:r>
    </w:p>
    <w:tbl>
      <w:tblPr>
        <w:tblStyle w:val="10"/>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735"/>
        <w:gridCol w:w="2139"/>
        <w:gridCol w:w="1761"/>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802" w:type="dxa"/>
            <w:noWrap w:val="0"/>
            <w:vAlign w:val="center"/>
          </w:tcPr>
          <w:p>
            <w:pPr>
              <w:spacing w:line="500" w:lineRule="exact"/>
              <w:jc w:val="center"/>
              <w:rPr>
                <w:rFonts w:ascii="宋体"/>
                <w:sz w:val="21"/>
                <w:szCs w:val="21"/>
              </w:rPr>
            </w:pPr>
            <w:r>
              <w:rPr>
                <w:rFonts w:hint="eastAsia" w:ascii="宋体"/>
                <w:sz w:val="21"/>
                <w:szCs w:val="21"/>
              </w:rPr>
              <w:t>序号</w:t>
            </w:r>
          </w:p>
        </w:tc>
        <w:tc>
          <w:tcPr>
            <w:tcW w:w="2735" w:type="dxa"/>
            <w:noWrap w:val="0"/>
            <w:vAlign w:val="center"/>
          </w:tcPr>
          <w:p>
            <w:pPr>
              <w:spacing w:line="500" w:lineRule="exact"/>
              <w:jc w:val="center"/>
              <w:rPr>
                <w:rFonts w:hint="eastAsia" w:ascii="宋体" w:eastAsiaTheme="minorEastAsia"/>
                <w:sz w:val="21"/>
                <w:szCs w:val="21"/>
                <w:lang w:eastAsia="zh-CN"/>
              </w:rPr>
            </w:pPr>
            <w:r>
              <w:rPr>
                <w:rFonts w:hint="eastAsia" w:ascii="宋体"/>
                <w:sz w:val="21"/>
                <w:szCs w:val="21"/>
                <w:lang w:eastAsia="zh-CN"/>
              </w:rPr>
              <w:t>名称</w:t>
            </w:r>
          </w:p>
        </w:tc>
        <w:tc>
          <w:tcPr>
            <w:tcW w:w="2139" w:type="dxa"/>
            <w:noWrap w:val="0"/>
            <w:vAlign w:val="center"/>
          </w:tcPr>
          <w:p>
            <w:pPr>
              <w:spacing w:line="500" w:lineRule="exact"/>
              <w:jc w:val="center"/>
              <w:rPr>
                <w:rFonts w:hint="default" w:ascii="宋体"/>
                <w:sz w:val="21"/>
                <w:szCs w:val="21"/>
                <w:lang w:val="en-US" w:eastAsia="zh-CN"/>
              </w:rPr>
            </w:pPr>
            <w:r>
              <w:rPr>
                <w:rFonts w:hint="eastAsia" w:ascii="宋体"/>
                <w:sz w:val="21"/>
                <w:szCs w:val="21"/>
                <w:lang w:val="en-US" w:eastAsia="zh-CN"/>
              </w:rPr>
              <w:t>数量</w:t>
            </w:r>
          </w:p>
        </w:tc>
        <w:tc>
          <w:tcPr>
            <w:tcW w:w="1761" w:type="dxa"/>
            <w:noWrap w:val="0"/>
            <w:vAlign w:val="center"/>
          </w:tcPr>
          <w:p>
            <w:pPr>
              <w:spacing w:line="500" w:lineRule="exact"/>
              <w:jc w:val="center"/>
              <w:rPr>
                <w:rFonts w:hint="eastAsia" w:ascii="宋体"/>
                <w:sz w:val="21"/>
                <w:szCs w:val="21"/>
                <w:lang w:val="en-US" w:eastAsia="zh-CN"/>
              </w:rPr>
            </w:pPr>
            <w:r>
              <w:rPr>
                <w:rFonts w:hint="eastAsia" w:ascii="宋体"/>
                <w:sz w:val="21"/>
                <w:szCs w:val="21"/>
                <w:lang w:val="en-US" w:eastAsia="zh-CN"/>
              </w:rPr>
              <w:t>单价（元）</w:t>
            </w:r>
          </w:p>
        </w:tc>
        <w:tc>
          <w:tcPr>
            <w:tcW w:w="1761" w:type="dxa"/>
            <w:noWrap w:val="0"/>
            <w:vAlign w:val="center"/>
          </w:tcPr>
          <w:p>
            <w:pPr>
              <w:spacing w:line="500" w:lineRule="exact"/>
              <w:jc w:val="center"/>
              <w:rPr>
                <w:rFonts w:hint="eastAsia" w:ascii="宋体"/>
                <w:sz w:val="21"/>
                <w:szCs w:val="21"/>
                <w:lang w:val="en-US" w:eastAsia="zh-CN"/>
              </w:rPr>
            </w:pPr>
            <w:r>
              <w:rPr>
                <w:rFonts w:hint="eastAsia" w:ascii="宋体"/>
                <w:sz w:val="21"/>
                <w:szCs w:val="21"/>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02" w:type="dxa"/>
            <w:noWrap w:val="0"/>
            <w:vAlign w:val="center"/>
          </w:tcPr>
          <w:p>
            <w:pPr>
              <w:spacing w:line="500" w:lineRule="exact"/>
              <w:jc w:val="center"/>
              <w:rPr>
                <w:rFonts w:ascii="宋体"/>
                <w:sz w:val="21"/>
                <w:szCs w:val="21"/>
              </w:rPr>
            </w:pPr>
            <w:r>
              <w:rPr>
                <w:rFonts w:hint="eastAsia" w:ascii="宋体"/>
                <w:sz w:val="21"/>
                <w:szCs w:val="21"/>
              </w:rPr>
              <w:t>1</w:t>
            </w: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02" w:type="dxa"/>
            <w:noWrap w:val="0"/>
            <w:vAlign w:val="center"/>
          </w:tcPr>
          <w:p>
            <w:pPr>
              <w:spacing w:line="500" w:lineRule="exact"/>
              <w:jc w:val="center"/>
              <w:rPr>
                <w:rFonts w:ascii="宋体"/>
                <w:sz w:val="21"/>
                <w:szCs w:val="21"/>
              </w:rPr>
            </w:pPr>
            <w:r>
              <w:rPr>
                <w:rFonts w:hint="eastAsia" w:ascii="宋体"/>
                <w:sz w:val="21"/>
                <w:szCs w:val="21"/>
              </w:rPr>
              <w:t>2</w:t>
            </w:r>
          </w:p>
        </w:tc>
        <w:tc>
          <w:tcPr>
            <w:tcW w:w="2735" w:type="dxa"/>
            <w:noWrap w:val="0"/>
            <w:vAlign w:val="center"/>
          </w:tcPr>
          <w:p>
            <w:pPr>
              <w:spacing w:line="600" w:lineRule="exact"/>
              <w:jc w:val="center"/>
              <w:rPr>
                <w:rFonts w:hint="eastAsia"/>
                <w:sz w:val="18"/>
                <w:szCs w:val="18"/>
                <w:lang w:val="en-US" w:eastAsia="zh-CN"/>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802" w:type="dxa"/>
            <w:noWrap w:val="0"/>
            <w:vAlign w:val="center"/>
          </w:tcPr>
          <w:p>
            <w:pPr>
              <w:spacing w:line="500" w:lineRule="exact"/>
              <w:jc w:val="center"/>
              <w:rPr>
                <w:rFonts w:hint="eastAsia" w:ascii="宋体" w:eastAsiaTheme="minorEastAsia"/>
                <w:sz w:val="21"/>
                <w:szCs w:val="21"/>
                <w:lang w:eastAsia="zh-CN"/>
              </w:rPr>
            </w:pPr>
            <w:r>
              <w:rPr>
                <w:rFonts w:hint="eastAsia" w:ascii="宋体"/>
                <w:sz w:val="21"/>
                <w:szCs w:val="21"/>
                <w:lang w:val="en-US" w:eastAsia="zh-CN"/>
              </w:rPr>
              <w:t>3</w:t>
            </w: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802" w:type="dxa"/>
            <w:noWrap w:val="0"/>
            <w:vAlign w:val="center"/>
          </w:tcPr>
          <w:p>
            <w:pPr>
              <w:spacing w:line="500" w:lineRule="exact"/>
              <w:jc w:val="center"/>
              <w:rPr>
                <w:rFonts w:hint="default" w:ascii="宋体" w:eastAsiaTheme="minorEastAsia"/>
                <w:sz w:val="21"/>
                <w:szCs w:val="21"/>
                <w:lang w:val="en-US" w:eastAsia="zh-CN"/>
              </w:rPr>
            </w:pPr>
            <w:r>
              <w:rPr>
                <w:rFonts w:hint="eastAsia" w:ascii="宋体"/>
                <w:sz w:val="21"/>
                <w:szCs w:val="21"/>
                <w:lang w:val="en-US" w:eastAsia="zh-CN"/>
              </w:rPr>
              <w:t>.....</w:t>
            </w: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802" w:type="dxa"/>
            <w:noWrap w:val="0"/>
            <w:vAlign w:val="center"/>
          </w:tcPr>
          <w:p>
            <w:pPr>
              <w:spacing w:line="500" w:lineRule="exact"/>
              <w:jc w:val="center"/>
              <w:rPr>
                <w:rFonts w:hint="default" w:ascii="宋体"/>
                <w:sz w:val="21"/>
                <w:szCs w:val="21"/>
                <w:lang w:val="en-US" w:eastAsia="zh-CN"/>
              </w:rPr>
            </w:pP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802" w:type="dxa"/>
            <w:noWrap w:val="0"/>
            <w:vAlign w:val="center"/>
          </w:tcPr>
          <w:p>
            <w:pPr>
              <w:spacing w:line="500" w:lineRule="exact"/>
              <w:jc w:val="center"/>
              <w:rPr>
                <w:rFonts w:hint="default" w:ascii="宋体"/>
                <w:sz w:val="21"/>
                <w:szCs w:val="21"/>
                <w:lang w:val="en-US" w:eastAsia="zh-CN"/>
              </w:rPr>
            </w:pP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802" w:type="dxa"/>
            <w:noWrap w:val="0"/>
            <w:vAlign w:val="center"/>
          </w:tcPr>
          <w:p>
            <w:pPr>
              <w:spacing w:line="500" w:lineRule="exact"/>
              <w:jc w:val="center"/>
              <w:rPr>
                <w:rFonts w:hint="eastAsia" w:ascii="宋体"/>
                <w:sz w:val="21"/>
                <w:szCs w:val="21"/>
                <w:lang w:val="en-US" w:eastAsia="zh-CN"/>
              </w:rPr>
            </w:pPr>
            <w:r>
              <w:rPr>
                <w:rFonts w:hint="eastAsia" w:ascii="宋体"/>
                <w:sz w:val="21"/>
                <w:szCs w:val="21"/>
                <w:lang w:val="en-US" w:eastAsia="zh-CN"/>
              </w:rPr>
              <w:t>报价要求</w:t>
            </w:r>
          </w:p>
        </w:tc>
        <w:tc>
          <w:tcPr>
            <w:tcW w:w="8396" w:type="dxa"/>
            <w:gridSpan w:val="4"/>
            <w:noWrap w:val="0"/>
            <w:vAlign w:val="center"/>
          </w:tcPr>
          <w:p>
            <w:pPr>
              <w:numPr>
                <w:ilvl w:val="0"/>
                <w:numId w:val="2"/>
              </w:numPr>
              <w:spacing w:line="500" w:lineRule="exact"/>
              <w:jc w:val="left"/>
              <w:rPr>
                <w:rFonts w:hint="eastAsia" w:ascii="宋体" w:hAnsi="Times New Roman" w:eastAsia="宋体" w:cs="Times New Roman"/>
                <w:szCs w:val="21"/>
                <w:lang w:val="en-US" w:eastAsia="zh-CN"/>
              </w:rPr>
            </w:pPr>
            <w:r>
              <w:rPr>
                <w:rFonts w:hint="eastAsia" w:ascii="宋体" w:hAnsi="Times New Roman" w:eastAsia="宋体" w:cs="Times New Roman"/>
                <w:szCs w:val="21"/>
                <w:lang w:eastAsia="zh-CN"/>
              </w:rPr>
              <w:t>网络终端解码器单价不得超过</w:t>
            </w:r>
            <w:r>
              <w:rPr>
                <w:rFonts w:hint="eastAsia" w:ascii="宋体" w:hAnsi="Times New Roman" w:eastAsia="宋体" w:cs="Times New Roman"/>
                <w:szCs w:val="21"/>
                <w:lang w:val="en-US" w:eastAsia="zh-CN"/>
              </w:rPr>
              <w:t>2600.00元/台；</w:t>
            </w:r>
          </w:p>
          <w:p>
            <w:pPr>
              <w:numPr>
                <w:ilvl w:val="0"/>
                <w:numId w:val="2"/>
              </w:numPr>
              <w:spacing w:line="500" w:lineRule="exact"/>
              <w:jc w:val="left"/>
              <w:rPr>
                <w:rFonts w:ascii="宋体"/>
                <w:sz w:val="21"/>
                <w:szCs w:val="21"/>
              </w:rPr>
            </w:pPr>
            <w:r>
              <w:rPr>
                <w:rFonts w:hint="eastAsia" w:ascii="宋体" w:hAnsi="Times New Roman" w:eastAsia="宋体" w:cs="Times New Roman"/>
                <w:szCs w:val="21"/>
                <w:lang w:val="en-US" w:eastAsia="zh-CN"/>
              </w:rPr>
              <w:t>网络音频采集器单价不得超过4500.00元/台。</w:t>
            </w:r>
          </w:p>
        </w:tc>
      </w:tr>
    </w:tbl>
    <w:p>
      <w:pPr>
        <w:adjustRightInd w:val="0"/>
        <w:snapToGrid w:val="0"/>
        <w:spacing w:line="360" w:lineRule="auto"/>
        <w:ind w:firstLine="420" w:firstLineChars="200"/>
        <w:rPr>
          <w:rFonts w:hint="eastAsia" w:ascii="宋体" w:hAnsi="Times New Roman" w:eastAsia="宋体" w:cs="Times New Roman"/>
          <w:szCs w:val="21"/>
        </w:rPr>
      </w:pPr>
    </w:p>
    <w:p>
      <w:pPr>
        <w:adjustRightInd w:val="0"/>
        <w:snapToGrid w:val="0"/>
        <w:spacing w:line="360" w:lineRule="auto"/>
        <w:ind w:firstLine="420" w:firstLineChars="200"/>
        <w:rPr>
          <w:rFonts w:hint="eastAsia" w:ascii="宋体" w:hAnsi="Times New Roman" w:eastAsia="宋体" w:cs="Times New Roman"/>
          <w:szCs w:val="21"/>
        </w:rPr>
      </w:pPr>
      <w:r>
        <w:rPr>
          <w:rFonts w:hint="eastAsia" w:ascii="宋体" w:hAnsi="Times New Roman" w:eastAsia="宋体" w:cs="Times New Roman"/>
          <w:szCs w:val="21"/>
        </w:rPr>
        <w:t>注：</w:t>
      </w:r>
      <w:r>
        <w:rPr>
          <w:rFonts w:hint="eastAsia" w:ascii="宋体" w:hAnsi="Times New Roman" w:eastAsia="宋体" w:cs="Times New Roman"/>
          <w:szCs w:val="21"/>
          <w:lang w:val="en-US" w:eastAsia="zh-CN"/>
        </w:rPr>
        <w:t>1、</w:t>
      </w:r>
      <w:r>
        <w:rPr>
          <w:rFonts w:hint="eastAsia" w:ascii="宋体" w:hAnsi="Times New Roman" w:eastAsia="宋体" w:cs="Times New Roman"/>
          <w:szCs w:val="21"/>
        </w:rPr>
        <w:t>本项目报价</w:t>
      </w:r>
      <w:r>
        <w:rPr>
          <w:rFonts w:hint="eastAsia" w:ascii="宋体" w:hAnsi="Times New Roman" w:eastAsia="宋体" w:cs="Times New Roman"/>
          <w:szCs w:val="21"/>
          <w:lang w:eastAsia="zh-CN"/>
        </w:rPr>
        <w:t>已</w:t>
      </w:r>
      <w:r>
        <w:rPr>
          <w:rFonts w:hint="eastAsia" w:ascii="宋体" w:hAnsi="Times New Roman" w:eastAsia="宋体" w:cs="Times New Roman"/>
          <w:szCs w:val="21"/>
        </w:rPr>
        <w:t>包括</w:t>
      </w:r>
      <w:r>
        <w:rPr>
          <w:rFonts w:hint="eastAsia" w:ascii="宋体" w:hAnsi="Times New Roman" w:eastAsia="宋体" w:cs="Times New Roman"/>
          <w:szCs w:val="21"/>
          <w:lang w:eastAsia="zh-CN"/>
        </w:rPr>
        <w:t>完成本文件规定的</w:t>
      </w:r>
      <w:r>
        <w:rPr>
          <w:rFonts w:hint="eastAsia" w:ascii="宋体" w:hAnsi="Times New Roman" w:eastAsia="宋体" w:cs="Times New Roman"/>
          <w:szCs w:val="21"/>
        </w:rPr>
        <w:t>所有费用</w:t>
      </w:r>
      <w:r>
        <w:rPr>
          <w:rFonts w:hint="eastAsia" w:ascii="宋体" w:hAnsi="Times New Roman" w:eastAsia="宋体" w:cs="Times New Roman"/>
          <w:szCs w:val="21"/>
          <w:lang w:eastAsia="zh-CN"/>
        </w:rPr>
        <w:t>（含税）</w:t>
      </w:r>
      <w:r>
        <w:rPr>
          <w:rFonts w:hint="eastAsia" w:ascii="宋体" w:hAnsi="Times New Roman" w:eastAsia="宋体" w:cs="Times New Roman"/>
          <w:szCs w:val="21"/>
        </w:rPr>
        <w:t>。</w:t>
      </w:r>
    </w:p>
    <w:p>
      <w:pPr>
        <w:adjustRightInd w:val="0"/>
        <w:snapToGrid w:val="0"/>
        <w:spacing w:line="360" w:lineRule="auto"/>
        <w:ind w:firstLine="420" w:firstLineChars="200"/>
        <w:rPr>
          <w:rFonts w:ascii="宋体" w:hAnsi="Times New Roman" w:eastAsia="宋体" w:cs="Times New Roman"/>
          <w:szCs w:val="21"/>
        </w:rPr>
      </w:pPr>
      <w:r>
        <w:rPr>
          <w:rFonts w:hint="eastAsia" w:ascii="宋体" w:hAnsi="Times New Roman" w:eastAsia="宋体" w:cs="Times New Roman"/>
          <w:szCs w:val="21"/>
          <w:lang w:val="en-US" w:eastAsia="zh-CN"/>
        </w:rPr>
        <w:t>2</w:t>
      </w:r>
      <w:r>
        <w:rPr>
          <w:rFonts w:hint="eastAsia" w:ascii="宋体" w:hAnsi="Times New Roman" w:eastAsia="宋体" w:cs="Times New Roman"/>
          <w:szCs w:val="21"/>
        </w:rPr>
        <w:t>、</w:t>
      </w:r>
      <w:r>
        <w:rPr>
          <w:rFonts w:ascii="宋体" w:hAnsi="Times New Roman" w:eastAsia="宋体" w:cs="Times New Roman"/>
          <w:szCs w:val="21"/>
        </w:rPr>
        <w:t>我方报价均真实有效，不存在</w:t>
      </w:r>
      <w:r>
        <w:rPr>
          <w:rFonts w:hint="eastAsia" w:ascii="宋体" w:hAnsi="Times New Roman" w:eastAsia="宋体" w:cs="Times New Roman"/>
          <w:szCs w:val="21"/>
        </w:rPr>
        <w:t>低于成本</w:t>
      </w:r>
      <w:r>
        <w:rPr>
          <w:rFonts w:ascii="宋体" w:hAnsi="Times New Roman" w:eastAsia="宋体" w:cs="Times New Roman"/>
          <w:szCs w:val="21"/>
        </w:rPr>
        <w:t>的不正当竞争行为</w:t>
      </w:r>
      <w:r>
        <w:rPr>
          <w:rFonts w:hint="eastAsia" w:ascii="宋体" w:hAnsi="Times New Roman" w:eastAsia="宋体" w:cs="Times New Roman"/>
          <w:szCs w:val="21"/>
        </w:rPr>
        <w:t>，并且</w:t>
      </w:r>
      <w:r>
        <w:rPr>
          <w:rFonts w:ascii="宋体" w:hAnsi="Times New Roman" w:eastAsia="宋体" w:cs="Times New Roman"/>
          <w:szCs w:val="21"/>
        </w:rPr>
        <w:t>不存在以低价谋取成交后提供不良产品</w:t>
      </w:r>
      <w:r>
        <w:rPr>
          <w:rFonts w:hint="eastAsia" w:ascii="宋体" w:hAnsi="Times New Roman" w:eastAsia="宋体" w:cs="Times New Roman"/>
          <w:szCs w:val="21"/>
        </w:rPr>
        <w:t>或者</w:t>
      </w:r>
      <w:r>
        <w:rPr>
          <w:rFonts w:ascii="宋体" w:hAnsi="Times New Roman" w:eastAsia="宋体" w:cs="Times New Roman"/>
          <w:szCs w:val="21"/>
        </w:rPr>
        <w:t>不诚信履约情况</w:t>
      </w:r>
      <w:r>
        <w:rPr>
          <w:rFonts w:hint="eastAsia" w:ascii="宋体" w:hAnsi="Times New Roman" w:eastAsia="宋体" w:cs="Times New Roman"/>
          <w:szCs w:val="21"/>
        </w:rPr>
        <w:t>。</w:t>
      </w: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u w:val="single"/>
        </w:rPr>
      </w:pPr>
      <w:r>
        <w:rPr>
          <w:rFonts w:hint="eastAsia" w:ascii="宋体"/>
          <w:sz w:val="24"/>
        </w:rPr>
        <w:t>法定代表人（负责人）或授权代表：</w:t>
      </w:r>
      <w:r>
        <w:rPr>
          <w:rFonts w:hint="eastAsia" w:ascii="宋体"/>
          <w:sz w:val="24"/>
          <w:u w:val="single"/>
        </w:rPr>
        <w:t>　　　　　　　　　　　　　　（签字）</w:t>
      </w: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spacing w:line="360" w:lineRule="auto"/>
        <w:ind w:firstLine="315" w:firstLineChars="150"/>
        <w:jc w:val="center"/>
        <w:rPr>
          <w:rFonts w:ascii="宋体"/>
        </w:rPr>
      </w:pPr>
      <w:r>
        <w:rPr>
          <w:rFonts w:ascii="宋体"/>
        </w:rPr>
        <w:br w:type="page"/>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附件三：</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附件四：</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360" w:firstLineChars="2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r>
        <w:rPr>
          <w:rFonts w:ascii="宋体"/>
          <w:sz w:val="18"/>
          <w:szCs w:val="18"/>
        </w:rPr>
        <w:br w:type="textWrapping"/>
      </w:r>
      <w:r>
        <w:rPr>
          <w:rFonts w:hint="eastAsia" w:ascii="宋体"/>
          <w:sz w:val="18"/>
          <w:szCs w:val="18"/>
        </w:rPr>
        <w:t>　　（二）具有良好的商业信誉和健全的财务会计制度；</w:t>
      </w:r>
      <w:r>
        <w:rPr>
          <w:rFonts w:ascii="宋体"/>
          <w:sz w:val="18"/>
          <w:szCs w:val="18"/>
        </w:rPr>
        <w:t xml:space="preserve"> </w:t>
      </w:r>
      <w:r>
        <w:rPr>
          <w:rFonts w:ascii="宋体"/>
          <w:sz w:val="18"/>
          <w:szCs w:val="18"/>
        </w:rPr>
        <w:br w:type="textWrapping"/>
      </w:r>
      <w:r>
        <w:rPr>
          <w:rFonts w:hint="eastAsia" w:ascii="宋体"/>
          <w:sz w:val="18"/>
          <w:szCs w:val="18"/>
        </w:rPr>
        <w:t>　　（三）具有履行合同所必需的设备和专业技术能力；</w:t>
      </w:r>
      <w:r>
        <w:rPr>
          <w:rFonts w:ascii="宋体"/>
          <w:sz w:val="18"/>
          <w:szCs w:val="18"/>
        </w:rPr>
        <w:t xml:space="preserve"> </w:t>
      </w:r>
      <w:r>
        <w:rPr>
          <w:rFonts w:ascii="宋体"/>
          <w:sz w:val="18"/>
          <w:szCs w:val="18"/>
        </w:rPr>
        <w:br w:type="textWrapping"/>
      </w:r>
      <w:r>
        <w:rPr>
          <w:rFonts w:hint="eastAsia" w:ascii="宋体"/>
          <w:sz w:val="18"/>
          <w:szCs w:val="18"/>
        </w:rPr>
        <w:t>　　（四）有依法缴纳税收和社会保障资金的良好记录；</w:t>
      </w:r>
      <w:r>
        <w:rPr>
          <w:rFonts w:ascii="宋体"/>
          <w:sz w:val="18"/>
          <w:szCs w:val="18"/>
        </w:rPr>
        <w:t xml:space="preserve"> </w:t>
      </w:r>
      <w:r>
        <w:rPr>
          <w:rFonts w:ascii="宋体"/>
          <w:sz w:val="18"/>
          <w:szCs w:val="18"/>
        </w:rPr>
        <w:br w:type="textWrapping"/>
      </w:r>
      <w:r>
        <w:rPr>
          <w:rFonts w:hint="eastAsia" w:ascii="宋体"/>
          <w:sz w:val="18"/>
          <w:szCs w:val="18"/>
        </w:rPr>
        <w:t>　　（五）参加政府采购活动前三年内，在经营活动中没有重大违法记录；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23152"/>
    <w:multiLevelType w:val="singleLevel"/>
    <w:tmpl w:val="86023152"/>
    <w:lvl w:ilvl="0" w:tentative="0">
      <w:start w:val="1"/>
      <w:numFmt w:val="decimal"/>
      <w:suff w:val="nothing"/>
      <w:lvlText w:val="%1、"/>
      <w:lvlJc w:val="left"/>
    </w:lvl>
  </w:abstractNum>
  <w:abstractNum w:abstractNumId="1">
    <w:nsid w:val="3B40A4AB"/>
    <w:multiLevelType w:val="singleLevel"/>
    <w:tmpl w:val="3B40A4A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38C5899"/>
    <w:rsid w:val="09CB1D24"/>
    <w:rsid w:val="0EB859DD"/>
    <w:rsid w:val="0FB53FBA"/>
    <w:rsid w:val="12D4769E"/>
    <w:rsid w:val="13166F71"/>
    <w:rsid w:val="1723084F"/>
    <w:rsid w:val="19A148BD"/>
    <w:rsid w:val="1D666CF8"/>
    <w:rsid w:val="1EE645ED"/>
    <w:rsid w:val="1F6D44F4"/>
    <w:rsid w:val="1F9E3357"/>
    <w:rsid w:val="23F84DCD"/>
    <w:rsid w:val="25DB486E"/>
    <w:rsid w:val="2E9E55DF"/>
    <w:rsid w:val="31B73586"/>
    <w:rsid w:val="344A1D72"/>
    <w:rsid w:val="359C5B20"/>
    <w:rsid w:val="35DE368E"/>
    <w:rsid w:val="36C00B5D"/>
    <w:rsid w:val="380A562F"/>
    <w:rsid w:val="39FF6E13"/>
    <w:rsid w:val="3C3C2F0E"/>
    <w:rsid w:val="41534DD6"/>
    <w:rsid w:val="441872F3"/>
    <w:rsid w:val="4D4811E9"/>
    <w:rsid w:val="52D34AC0"/>
    <w:rsid w:val="5B4E7E94"/>
    <w:rsid w:val="5CFE0C35"/>
    <w:rsid w:val="5F2B346B"/>
    <w:rsid w:val="712338AD"/>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3421</Words>
  <Characters>3633</Characters>
  <Lines>0</Lines>
  <Paragraphs>0</Paragraphs>
  <TotalTime>6</TotalTime>
  <ScaleCrop>false</ScaleCrop>
  <LinksUpToDate>false</LinksUpToDate>
  <CharactersWithSpaces>3928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司令</cp:lastModifiedBy>
  <cp:lastPrinted>2022-05-14T02:39:12Z</cp:lastPrinted>
  <dcterms:modified xsi:type="dcterms:W3CDTF">2022-05-14T02:40:12Z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A56AE8D18D794241BF816B23FAF330A5</vt:lpwstr>
  </property>
</Properties>
</file>