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四川省乐山第一中学校</w:t>
      </w:r>
    </w:p>
    <w:p>
      <w:pPr>
        <w:bidi w:val="0"/>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开水机、直饮水机滤芯及配件采购项目公开比价公告（第二次）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eastAsia="zh-CN"/>
        </w:rPr>
        <w:t>依据</w:t>
      </w:r>
      <w:r>
        <w:rPr>
          <w:rFonts w:hint="eastAsia" w:ascii="仿宋" w:hAnsi="仿宋" w:eastAsia="仿宋" w:cs="仿宋"/>
          <w:sz w:val="28"/>
          <w:szCs w:val="28"/>
        </w:rPr>
        <w:t>《四川省</w:t>
      </w:r>
      <w:r>
        <w:rPr>
          <w:rFonts w:hint="eastAsia" w:ascii="仿宋" w:hAnsi="仿宋" w:eastAsia="仿宋" w:cs="仿宋"/>
          <w:sz w:val="28"/>
          <w:szCs w:val="28"/>
          <w:lang w:val="en-US" w:eastAsia="zh-CN"/>
        </w:rPr>
        <w:t>2020</w:t>
      </w:r>
      <w:r>
        <w:rPr>
          <w:rFonts w:hint="eastAsia" w:ascii="仿宋" w:hAnsi="仿宋" w:eastAsia="仿宋" w:cs="仿宋"/>
          <w:sz w:val="28"/>
          <w:szCs w:val="28"/>
        </w:rPr>
        <w:t>年政府集中采购目录及标准》的相关</w:t>
      </w:r>
      <w:r>
        <w:rPr>
          <w:rFonts w:hint="eastAsia" w:ascii="仿宋" w:hAnsi="仿宋" w:eastAsia="仿宋" w:cs="仿宋"/>
          <w:sz w:val="28"/>
          <w:szCs w:val="28"/>
          <w:lang w:eastAsia="zh-CN"/>
        </w:rPr>
        <w:t>文件</w:t>
      </w:r>
      <w:r>
        <w:rPr>
          <w:rFonts w:hint="eastAsia" w:ascii="仿宋" w:hAnsi="仿宋" w:eastAsia="仿宋" w:cs="仿宋"/>
          <w:sz w:val="28"/>
          <w:szCs w:val="28"/>
        </w:rPr>
        <w:t>要求，</w:t>
      </w:r>
      <w:r>
        <w:rPr>
          <w:rFonts w:hint="eastAsia" w:ascii="仿宋" w:hAnsi="仿宋" w:eastAsia="仿宋" w:cs="仿宋"/>
          <w:sz w:val="28"/>
          <w:szCs w:val="28"/>
          <w:lang w:eastAsia="zh-CN"/>
        </w:rPr>
        <w:t>经</w:t>
      </w:r>
      <w:r>
        <w:rPr>
          <w:rFonts w:hint="eastAsia" w:ascii="仿宋" w:hAnsi="仿宋" w:eastAsia="仿宋" w:cs="仿宋"/>
          <w:sz w:val="28"/>
          <w:szCs w:val="28"/>
        </w:rPr>
        <w:t>学校研究，拟对</w:t>
      </w:r>
      <w:r>
        <w:rPr>
          <w:rFonts w:hint="eastAsia" w:ascii="仿宋" w:hAnsi="仿宋" w:eastAsia="仿宋" w:cs="仿宋"/>
          <w:sz w:val="28"/>
          <w:szCs w:val="28"/>
          <w:lang w:eastAsia="zh-CN"/>
        </w:rPr>
        <w:t>学校</w:t>
      </w:r>
      <w:r>
        <w:rPr>
          <w:rFonts w:hint="eastAsia" w:ascii="仿宋" w:hAnsi="仿宋" w:eastAsia="仿宋" w:cs="仿宋"/>
          <w:sz w:val="28"/>
          <w:szCs w:val="28"/>
          <w:lang w:val="en-US" w:eastAsia="zh-CN"/>
        </w:rPr>
        <w:t>开水机、直饮水机滤芯及配件</w:t>
      </w:r>
      <w:r>
        <w:rPr>
          <w:rFonts w:hint="eastAsia" w:ascii="仿宋" w:hAnsi="仿宋" w:eastAsia="仿宋" w:cs="仿宋"/>
          <w:sz w:val="28"/>
          <w:szCs w:val="28"/>
          <w:lang w:eastAsia="zh-CN"/>
        </w:rPr>
        <w:t>采</w:t>
      </w:r>
      <w:r>
        <w:rPr>
          <w:rFonts w:hint="eastAsia" w:ascii="仿宋" w:hAnsi="仿宋" w:eastAsia="仿宋" w:cs="仿宋"/>
          <w:sz w:val="28"/>
          <w:szCs w:val="28"/>
        </w:rPr>
        <w:t>购项目</w:t>
      </w:r>
      <w:r>
        <w:rPr>
          <w:rFonts w:hint="eastAsia" w:ascii="仿宋" w:hAnsi="仿宋" w:eastAsia="仿宋" w:cs="仿宋"/>
          <w:sz w:val="28"/>
          <w:szCs w:val="28"/>
          <w:lang w:eastAsia="zh-CN"/>
        </w:rPr>
        <w:t>采用比价方式进行采购</w:t>
      </w:r>
      <w:r>
        <w:rPr>
          <w:rFonts w:hint="eastAsia" w:ascii="仿宋" w:hAnsi="仿宋" w:eastAsia="仿宋" w:cs="仿宋"/>
          <w:sz w:val="28"/>
          <w:szCs w:val="28"/>
        </w:rPr>
        <w:t>，兹邀请符合本次</w:t>
      </w:r>
      <w:r>
        <w:rPr>
          <w:rFonts w:hint="eastAsia" w:ascii="仿宋" w:hAnsi="仿宋" w:eastAsia="仿宋" w:cs="仿宋"/>
          <w:sz w:val="28"/>
          <w:szCs w:val="28"/>
          <w:lang w:eastAsia="zh-CN"/>
        </w:rPr>
        <w:t>比价</w:t>
      </w:r>
      <w:r>
        <w:rPr>
          <w:rFonts w:hint="eastAsia" w:ascii="仿宋" w:hAnsi="仿宋" w:eastAsia="仿宋" w:cs="仿宋"/>
          <w:sz w:val="28"/>
          <w:szCs w:val="28"/>
        </w:rPr>
        <w:t>要求的供应商参加投标</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一、项目名称：</w:t>
      </w:r>
      <w:r>
        <w:rPr>
          <w:rFonts w:hint="eastAsia" w:ascii="仿宋" w:hAnsi="仿宋" w:eastAsia="仿宋" w:cs="仿宋"/>
          <w:sz w:val="28"/>
          <w:szCs w:val="28"/>
          <w:lang w:val="en-US" w:eastAsia="zh-CN"/>
        </w:rPr>
        <w:t>乐山一开水机、直饮水机滤芯及配件采购项目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b/>
          <w:bCs/>
          <w:sz w:val="28"/>
          <w:szCs w:val="28"/>
          <w:lang w:val="en-US" w:eastAsia="zh-CN"/>
        </w:rPr>
        <w:t>项目编号</w:t>
      </w:r>
      <w:r>
        <w:rPr>
          <w:rFonts w:hint="eastAsia" w:ascii="仿宋" w:hAnsi="仿宋" w:eastAsia="仿宋" w:cs="仿宋"/>
          <w:sz w:val="28"/>
          <w:szCs w:val="28"/>
          <w:lang w:val="en-US" w:eastAsia="zh-CN"/>
        </w:rPr>
        <w:t>：LSYZLC（2022）02号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rPr>
      </w:pPr>
      <w:r>
        <w:rPr>
          <w:rFonts w:hint="eastAsia" w:ascii="仿宋" w:hAnsi="仿宋" w:eastAsia="仿宋" w:cs="仿宋"/>
          <w:b/>
          <w:bCs/>
          <w:sz w:val="28"/>
          <w:szCs w:val="28"/>
          <w:lang w:val="en-US" w:eastAsia="zh-CN"/>
        </w:rPr>
        <w:t>三、采购方式：</w:t>
      </w:r>
      <w:r>
        <w:rPr>
          <w:rFonts w:hint="eastAsia" w:ascii="仿宋" w:hAnsi="仿宋" w:eastAsia="仿宋" w:cs="仿宋"/>
          <w:sz w:val="28"/>
          <w:szCs w:val="28"/>
          <w:lang w:val="en-US" w:eastAsia="zh-CN"/>
        </w:rPr>
        <w:t>比价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sz w:val="28"/>
          <w:szCs w:val="28"/>
          <w:lang w:val="en-US"/>
        </w:rPr>
      </w:pPr>
      <w:r>
        <w:rPr>
          <w:rFonts w:hint="eastAsia" w:ascii="仿宋" w:hAnsi="仿宋" w:eastAsia="仿宋" w:cs="仿宋"/>
          <w:b/>
          <w:bCs/>
          <w:sz w:val="28"/>
          <w:szCs w:val="28"/>
          <w:lang w:val="en-US" w:eastAsia="zh-CN"/>
        </w:rPr>
        <w:t>四、采购预算及最高限价：9.10</w:t>
      </w:r>
      <w:r>
        <w:rPr>
          <w:rFonts w:hint="eastAsia" w:ascii="仿宋" w:hAnsi="仿宋" w:eastAsia="仿宋" w:cs="仿宋"/>
          <w:sz w:val="28"/>
          <w:szCs w:val="28"/>
          <w:lang w:val="en-US" w:eastAsia="zh-CN"/>
        </w:rPr>
        <w:t>万元/年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五、投标人资格和条件：</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满足《政府采购法》第二十二条</w:t>
      </w:r>
    </w:p>
    <w:p>
      <w:pPr>
        <w:numPr>
          <w:ilvl w:val="0"/>
          <w:numId w:val="1"/>
        </w:num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具有独立承担民事责任的能力。</w:t>
      </w:r>
    </w:p>
    <w:p>
      <w:pPr>
        <w:numPr>
          <w:ilvl w:val="0"/>
          <w:numId w:val="0"/>
        </w:num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（二）具有良好的商业信誉和健全的财务会计制度（可提供承诺函，见附件）；</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（三）具有履行合同所必需的设备和专业技术能力（可提供承诺函、见附件）；</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（四）具有依法缴纳税收和社会保障资金的良好记录（可提供承诺函，见附件）；</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（五）参加本次政府采购活动前三年内，在经营活动中没有重大违法记录（可提供承诺函，见附件）；</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（六）法律、行政法规规定的其他条件；</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（七）本项目，采购人 </w:t>
      </w:r>
      <w:r>
        <w:rPr>
          <w:rFonts w:hint="eastAsia" w:ascii="仿宋" w:hAnsi="仿宋" w:eastAsia="仿宋" w:cs="仿宋"/>
          <w:sz w:val="28"/>
          <w:szCs w:val="28"/>
          <w:u w:val="single"/>
          <w:lang w:val="en-US" w:eastAsia="zh-CN"/>
        </w:rPr>
        <w:t xml:space="preserve"> 不接受  </w:t>
      </w:r>
      <w:r>
        <w:rPr>
          <w:rFonts w:hint="eastAsia" w:ascii="仿宋" w:hAnsi="仿宋" w:eastAsia="仿宋" w:cs="仿宋"/>
          <w:sz w:val="28"/>
          <w:szCs w:val="28"/>
          <w:lang w:val="en-US" w:eastAsia="zh-CN"/>
        </w:rPr>
        <w:t xml:space="preserve"> 联合体参加。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六、采购清单。（见附件一）</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七、商务要求（实质性要求）。</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供应商须提供所投产品《卫生许可批件》（1、开水机滤芯卫生许可批件应包括：PP棉滤芯、前后置活性炭滤芯合一，2、直饮水机滤芯卫生许可批件应包括：PP棉滤芯、活性炭滤芯、RO膜滤芯、T33滤芯），投标人须严格按照上述6个滤芯提供有效对应的《卫生许可批件》；</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2、投标供应商须提供所投开水机滤芯、直饮水机滤芯《检验报告》或《检测报告》；</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3、安装更换时间以采购方通知为准；</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4、采购数量按清单要求提供，最终结算以实际采购数量为准。</w:t>
      </w:r>
    </w:p>
    <w:p>
      <w:pPr>
        <w:ind w:firstLine="560" w:firstLineChars="200"/>
        <w:rPr>
          <w:rFonts w:hint="default"/>
          <w:sz w:val="28"/>
          <w:szCs w:val="28"/>
          <w:lang w:val="en-US" w:eastAsia="zh-CN"/>
        </w:rPr>
      </w:pPr>
      <w:r>
        <w:rPr>
          <w:rFonts w:hint="eastAsia" w:ascii="仿宋" w:hAnsi="仿宋" w:eastAsia="仿宋" w:cs="仿宋"/>
          <w:sz w:val="28"/>
          <w:szCs w:val="28"/>
          <w:lang w:val="en-US" w:eastAsia="zh-CN"/>
        </w:rPr>
        <w:t>5、除直饮水机2分PE管、直饮水机内丝水龙头水嘴只需提供货物外，其他项目须包安装。</w:t>
      </w:r>
    </w:p>
    <w:p>
      <w:pPr>
        <w:pStyle w:val="2"/>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八、报名及投标文件的领取：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1、本项目不需报名，有意参加投标的供应商家按招标公告要求递交投标文件，文件自行下载。</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2、本投标邀请在四川省乐山第一中学校官网（http://www.sclsyz.com/）上以公告形式发布。</w:t>
      </w:r>
    </w:p>
    <w:p>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3、咨询时间：工作日上午9：00---11:40，下午14:30分--17:30分，节假日、周末不受理咨询服务。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九、报价：</w:t>
      </w:r>
      <w:r>
        <w:rPr>
          <w:rFonts w:hint="eastAsia" w:ascii="仿宋" w:hAnsi="仿宋" w:eastAsia="仿宋" w:cs="仿宋"/>
          <w:sz w:val="28"/>
          <w:szCs w:val="28"/>
          <w:lang w:val="en-US" w:eastAsia="zh-CN"/>
        </w:rPr>
        <w:t xml:space="preserve"> 投标供应商按照报价表（见附件二），所报总价应包含运输、安装、税费等所有费用，并注明所投产品的品牌，报价要求：超过最高限价为无效报价，对低于该项目控制价的50%的。有可能影响产品质量或者不能诚信履约的，应当将其作为无效处理。本项目采用一次性报价方式，按照低价中标原则，选定中选单位。</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十、投标文件的内容：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1、加盖公章的报价书（报价须分项报价）；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2、加盖公章的营业执照复印件、组织机构代码证复印件、税务登记证复印件，加盖公章；</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3、法人代表授权书（附件三）、法人代表身份证复印件、授权代表身份证复印件（代表为法人的只需提供法人代表身份证复印件）；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4、公告第</w:t>
      </w:r>
      <w:r>
        <w:rPr>
          <w:rFonts w:hint="eastAsia" w:ascii="仿宋" w:hAnsi="仿宋" w:eastAsia="仿宋" w:cs="仿宋"/>
          <w:kern w:val="2"/>
          <w:sz w:val="28"/>
          <w:szCs w:val="28"/>
          <w:lang w:val="en-US" w:eastAsia="zh-CN" w:bidi="ar-SA"/>
        </w:rPr>
        <w:t>五条投标人资格和条件资料或承诺函。（承诺函格式见附件四）</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5、</w:t>
      </w:r>
      <w:r>
        <w:rPr>
          <w:rFonts w:hint="eastAsia" w:ascii="仿宋" w:hAnsi="仿宋" w:eastAsia="仿宋" w:cs="仿宋"/>
          <w:sz w:val="28"/>
          <w:szCs w:val="28"/>
          <w:lang w:val="en-US" w:eastAsia="zh-CN"/>
        </w:rPr>
        <w:t>投标供应商须提供所投产品《卫生许可批件》；</w:t>
      </w:r>
    </w:p>
    <w:p>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6、投标供应商须提供所投开水机滤芯、直饮水机滤芯《检验报告》或《检测报告》。</w:t>
      </w:r>
    </w:p>
    <w:p>
      <w:pPr>
        <w:rPr>
          <w:rFonts w:hint="eastAsia"/>
          <w:b/>
          <w:bCs/>
          <w:sz w:val="28"/>
          <w:szCs w:val="28"/>
          <w:lang w:val="en-US" w:eastAsia="zh-CN"/>
        </w:rPr>
      </w:pPr>
      <w:r>
        <w:rPr>
          <w:rFonts w:hint="eastAsia" w:ascii="仿宋" w:hAnsi="仿宋" w:eastAsia="仿宋" w:cs="仿宋"/>
          <w:b/>
          <w:bCs/>
          <w:sz w:val="28"/>
          <w:szCs w:val="28"/>
          <w:lang w:val="en-US" w:eastAsia="zh-CN"/>
        </w:rPr>
        <w:t>以上投标文件需提供正本一份、副本一份、电子版一份密封。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十一、投标文件的递交：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投标供应商严格按照公告要求将投标文件规范密封后，于2022年</w:t>
      </w:r>
      <w:r>
        <w:rPr>
          <w:rFonts w:hint="eastAsia" w:ascii="仿宋" w:hAnsi="仿宋" w:eastAsia="仿宋" w:cs="仿宋"/>
          <w:sz w:val="28"/>
          <w:szCs w:val="28"/>
          <w:u w:val="single"/>
          <w:lang w:val="en-US" w:eastAsia="zh-CN"/>
        </w:rPr>
        <w:t xml:space="preserve">  01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25 </w:t>
      </w:r>
      <w:r>
        <w:rPr>
          <w:rFonts w:hint="eastAsia" w:ascii="仿宋" w:hAnsi="仿宋" w:eastAsia="仿宋" w:cs="仿宋"/>
          <w:sz w:val="28"/>
          <w:szCs w:val="28"/>
          <w:lang w:val="en-US" w:eastAsia="zh-CN"/>
        </w:rPr>
        <w:t>日上午10：00前面呈于乐山一中行政楼3楼总务科（逾期送达的或者未送达指定地点的投标文件，采购人不予受理），我校将组织相关工作人员按要求评出中选单位，于现场确定中选单位。请投标单位在投标函中注明联系人姓名与电话，以便联系。</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投标文件送交联系人： 黄老师   电话：0833-2605533</w:t>
      </w: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乐山一中纪委电话：0833-2605626</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bookmarkStart w:id="0" w:name="_GoBack"/>
      <w:bookmarkEnd w:id="0"/>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四川省乐山第一中学校</w:t>
      </w:r>
    </w:p>
    <w:p>
      <w:pPr>
        <w:keepNext w:val="0"/>
        <w:keepLines w:val="0"/>
        <w:pageBreakBefore w:val="0"/>
        <w:widowControl w:val="0"/>
        <w:kinsoku/>
        <w:wordWrap/>
        <w:overflowPunct/>
        <w:topLinePunct w:val="0"/>
        <w:autoSpaceDE/>
        <w:autoSpaceDN/>
        <w:bidi w:val="0"/>
        <w:adjustRightInd/>
        <w:snapToGrid/>
        <w:spacing w:line="560" w:lineRule="exact"/>
        <w:ind w:firstLine="5880" w:firstLineChars="2100"/>
        <w:textAlignment w:val="auto"/>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2022年01月21日</w:t>
      </w: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ascii="仿宋" w:hAnsi="仿宋" w:eastAsia="仿宋" w:cs="仿宋"/>
          <w:b w:val="0"/>
          <w:bCs/>
          <w:i w:val="0"/>
          <w:iCs w:val="0"/>
          <w:sz w:val="21"/>
          <w:szCs w:val="21"/>
          <w:lang w:val="en-US" w:eastAsia="zh-CN"/>
        </w:rPr>
      </w:pPr>
    </w:p>
    <w:p>
      <w:pPr>
        <w:pStyle w:val="2"/>
        <w:rPr>
          <w:rFonts w:hint="eastAsia" w:ascii="仿宋" w:hAnsi="仿宋" w:eastAsia="仿宋" w:cs="仿宋"/>
          <w:b w:val="0"/>
          <w:bCs/>
          <w:i w:val="0"/>
          <w:iCs w:val="0"/>
          <w:sz w:val="21"/>
          <w:szCs w:val="21"/>
          <w:lang w:val="en-US" w:eastAsia="zh-CN"/>
        </w:rPr>
      </w:pPr>
    </w:p>
    <w:p>
      <w:pPr>
        <w:rPr>
          <w:rFonts w:hint="eastAsia"/>
          <w:lang w:val="en-US" w:eastAsia="zh-CN"/>
        </w:rPr>
      </w:pPr>
    </w:p>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附件一：</w:t>
      </w:r>
    </w:p>
    <w:tbl>
      <w:tblPr>
        <w:tblStyle w:val="10"/>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2263"/>
        <w:gridCol w:w="1914"/>
        <w:gridCol w:w="1189"/>
        <w:gridCol w:w="1427"/>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4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15"/>
                <w:szCs w:val="15"/>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乐山一中开水机、直饮水机滤芯及配件采购清单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机型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产品参数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采购数量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17"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开水机滤芯及配件</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PP棉滤芯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1、规格：9.5-10寸；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2、材质：食品级PP棉；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3、使用寿命：9个月；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4、过滤精度：5微米；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40个</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前置活性炭滤芯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1、规格：9.5-10寸；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2、材质：活性炭；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3、使用寿命：9个月；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4、过滤精度：0.01微米；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40个</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后置活性炭滤芯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1、规格：9.5-10寸；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2、材质：食品级T33；</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3、使用寿命：9个月；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4、过滤精度：0.01微米；</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40个</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阀芯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1、规格：35L开水机通用；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2、材质：铜制；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3、使用寿命：18个月；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40套</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泄压阀</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1、规格：35L开水机通用；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2、材质：铜制；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3、使用寿命：18个月；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20个</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排气阀</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1、规格：35L开水机通用；</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2、材质：铜制；</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3、使用寿命：18个月；</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45个</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5"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直饮水机滤芯及配件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PP棉滤芯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1、滤芯规格：20寸；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2、滤芯材质：食品级PP棉；</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3、使用寿命：6个月；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4、过滤精度：5微米；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5、长度尺寸：508（±1）毫米；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6、内径尺寸：28毫米；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活性炭滤芯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1、滤芯规格：20寸；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2、滤芯材质：活性炭；</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3、使用寿命：9个月；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4、过滤精度：0.01微米；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5、长度尺寸：508（±1）毫米；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6、内径尺寸：28毫米；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RO膜滤芯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1、滤芯规格：67.8×330毫米；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2、滤芯材质：RO膜；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3、使用寿命：12个月；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4、脱盐率：96%；</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5、产水量：450加仑；</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6、测试压力：100PSI；</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7、测试浓度：500NaCL(PPM)；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8、回收率：15%；</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9、产品工艺：干式膜；</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10、膜片孔径：0.00005微米；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11、适用温度：1-45°；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8"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T33滤芯</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1、滤芯规格：20寸；</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2、滤芯材质：T33；</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3、使用寿命：9个月；</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4、过滤精度：0.01微米；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5、长度尺寸：280（±1）毫米；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6、内径尺寸：28毫米；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64个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电脑板</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1、产品规格：全自动控制8字动态显示；</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2、长度：13.5mm；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3、宽度：6.5mm；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4、高度：3.2mm；</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5、工作电压：DC 24V；</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2"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增压泵</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1、产品规格：400G；</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2、工作电压：DC 24V；</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3、进水压力：20PSI；</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4、工作压力：70PSI；</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5、额定电流：≤2.0A；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6、额定流量：≥180L/H；</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7、封堵电流：≤3.5A；</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8、封堵压力：140PSI±10；</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9、噪音：≤46db；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直饮水机2分PE管</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产品名称：  PE管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规格：2分</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外径：6.35mm左右 内径4.1MM左右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壁厚：1mm左右</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包装：50米/卷</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作用：用于管线饮水机、RO机、净水器等连接</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【主要材质】：聚乙烯 (食品级）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直饮水机内丝水龙头水嘴（DN16）、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DN16mm、颜色：红色：200个、绿色：200个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5"/>
                <w:szCs w:val="15"/>
                <w:u w:val="none"/>
              </w:rPr>
            </w:pPr>
          </w:p>
        </w:tc>
      </w:tr>
    </w:tbl>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附件二：</w:t>
      </w:r>
    </w:p>
    <w:p>
      <w:pPr>
        <w:spacing w:line="360" w:lineRule="auto"/>
        <w:jc w:val="center"/>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乐山一开水机、直饮水机滤芯及配件采购项目</w:t>
      </w:r>
    </w:p>
    <w:p>
      <w:pPr>
        <w:spacing w:line="360" w:lineRule="auto"/>
        <w:jc w:val="center"/>
        <w:rPr>
          <w:rFonts w:hint="eastAsia" w:ascii="方正小标宋简体" w:hAnsi="方正小标宋简体" w:eastAsia="方正小标宋简体" w:cs="方正小标宋简体"/>
          <w:sz w:val="32"/>
          <w:szCs w:val="32"/>
          <w:u w:val="none"/>
        </w:rPr>
      </w:pPr>
      <w:r>
        <w:rPr>
          <w:rFonts w:hint="eastAsia" w:ascii="方正小标宋简体" w:hAnsi="方正小标宋简体" w:eastAsia="方正小标宋简体" w:cs="方正小标宋简体"/>
          <w:sz w:val="32"/>
          <w:szCs w:val="32"/>
          <w:u w:val="none"/>
          <w:lang w:val="en-US" w:eastAsia="zh-CN"/>
        </w:rPr>
        <w:t>报价明细表</w:t>
      </w:r>
    </w:p>
    <w:p>
      <w:pPr>
        <w:spacing w:line="500" w:lineRule="exact"/>
        <w:rPr>
          <w:rFonts w:hint="eastAsia" w:ascii="宋体"/>
          <w:sz w:val="24"/>
        </w:rPr>
      </w:pPr>
    </w:p>
    <w:p>
      <w:pPr>
        <w:spacing w:line="500" w:lineRule="exact"/>
        <w:rPr>
          <w:rFonts w:hint="eastAsia" w:ascii="宋体"/>
          <w:sz w:val="24"/>
        </w:rPr>
      </w:pPr>
      <w:r>
        <w:rPr>
          <w:rFonts w:hint="eastAsia" w:ascii="宋体"/>
          <w:sz w:val="24"/>
        </w:rPr>
        <w:t>项目名称：</w:t>
      </w:r>
      <w:r>
        <w:rPr>
          <w:rFonts w:hint="eastAsia" w:ascii="宋体"/>
          <w:sz w:val="24"/>
          <w:u w:val="single"/>
        </w:rPr>
        <w:t xml:space="preserve"> </w:t>
      </w:r>
      <w:r>
        <w:rPr>
          <w:rFonts w:hint="eastAsia" w:ascii="宋体"/>
          <w:sz w:val="24"/>
          <w:u w:val="single"/>
          <w:lang w:val="en-US" w:eastAsia="zh-CN"/>
        </w:rPr>
        <w:t xml:space="preserve">乐山一开水机、直饮水机滤芯及配件采购项目 </w:t>
      </w:r>
      <w:r>
        <w:rPr>
          <w:rFonts w:hint="eastAsia" w:ascii="宋体"/>
          <w:sz w:val="24"/>
        </w:rPr>
        <w:t xml:space="preserve"> </w:t>
      </w:r>
    </w:p>
    <w:p>
      <w:pPr>
        <w:spacing w:line="500" w:lineRule="exact"/>
        <w:rPr>
          <w:rFonts w:ascii="宋体"/>
          <w:sz w:val="24"/>
        </w:rPr>
      </w:pPr>
      <w:r>
        <w:rPr>
          <w:rFonts w:hint="eastAsia" w:ascii="宋体"/>
          <w:sz w:val="24"/>
        </w:rPr>
        <w:t xml:space="preserve"> </w:t>
      </w:r>
    </w:p>
    <w:tbl>
      <w:tblPr>
        <w:tblStyle w:val="10"/>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735"/>
        <w:gridCol w:w="2139"/>
        <w:gridCol w:w="1761"/>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jc w:val="center"/>
        </w:trPr>
        <w:tc>
          <w:tcPr>
            <w:tcW w:w="1802" w:type="dxa"/>
            <w:noWrap w:val="0"/>
            <w:vAlign w:val="center"/>
          </w:tcPr>
          <w:p>
            <w:pPr>
              <w:spacing w:line="500" w:lineRule="exact"/>
              <w:jc w:val="center"/>
              <w:rPr>
                <w:rFonts w:ascii="宋体"/>
                <w:sz w:val="21"/>
                <w:szCs w:val="21"/>
              </w:rPr>
            </w:pPr>
            <w:r>
              <w:rPr>
                <w:rFonts w:hint="eastAsia" w:ascii="宋体"/>
                <w:sz w:val="21"/>
                <w:szCs w:val="21"/>
              </w:rPr>
              <w:t>序号</w:t>
            </w:r>
          </w:p>
        </w:tc>
        <w:tc>
          <w:tcPr>
            <w:tcW w:w="2735" w:type="dxa"/>
            <w:noWrap w:val="0"/>
            <w:vAlign w:val="center"/>
          </w:tcPr>
          <w:p>
            <w:pPr>
              <w:spacing w:line="500" w:lineRule="exact"/>
              <w:jc w:val="center"/>
              <w:rPr>
                <w:rFonts w:hint="eastAsia" w:ascii="宋体" w:eastAsiaTheme="minorEastAsia"/>
                <w:sz w:val="21"/>
                <w:szCs w:val="21"/>
                <w:lang w:eastAsia="zh-CN"/>
              </w:rPr>
            </w:pPr>
            <w:r>
              <w:rPr>
                <w:rFonts w:hint="eastAsia" w:ascii="宋体"/>
                <w:sz w:val="21"/>
                <w:szCs w:val="21"/>
                <w:lang w:eastAsia="zh-CN"/>
              </w:rPr>
              <w:t>名称</w:t>
            </w:r>
          </w:p>
        </w:tc>
        <w:tc>
          <w:tcPr>
            <w:tcW w:w="2139" w:type="dxa"/>
            <w:noWrap w:val="0"/>
            <w:vAlign w:val="center"/>
          </w:tcPr>
          <w:p>
            <w:pPr>
              <w:spacing w:line="500" w:lineRule="exact"/>
              <w:jc w:val="center"/>
              <w:rPr>
                <w:rFonts w:hint="default" w:ascii="宋体"/>
                <w:sz w:val="21"/>
                <w:szCs w:val="21"/>
                <w:lang w:val="en-US" w:eastAsia="zh-CN"/>
              </w:rPr>
            </w:pPr>
            <w:r>
              <w:rPr>
                <w:rFonts w:hint="eastAsia" w:ascii="宋体"/>
                <w:sz w:val="21"/>
                <w:szCs w:val="21"/>
                <w:lang w:val="en-US" w:eastAsia="zh-CN"/>
              </w:rPr>
              <w:t>数量</w:t>
            </w:r>
          </w:p>
        </w:tc>
        <w:tc>
          <w:tcPr>
            <w:tcW w:w="1761" w:type="dxa"/>
            <w:noWrap w:val="0"/>
            <w:vAlign w:val="center"/>
          </w:tcPr>
          <w:p>
            <w:pPr>
              <w:spacing w:line="500" w:lineRule="exact"/>
              <w:jc w:val="center"/>
              <w:rPr>
                <w:rFonts w:hint="eastAsia" w:ascii="宋体"/>
                <w:sz w:val="21"/>
                <w:szCs w:val="21"/>
                <w:lang w:val="en-US" w:eastAsia="zh-CN"/>
              </w:rPr>
            </w:pPr>
            <w:r>
              <w:rPr>
                <w:rFonts w:hint="eastAsia" w:ascii="宋体"/>
                <w:sz w:val="21"/>
                <w:szCs w:val="21"/>
                <w:lang w:val="en-US" w:eastAsia="zh-CN"/>
              </w:rPr>
              <w:t>单价（元）</w:t>
            </w:r>
          </w:p>
        </w:tc>
        <w:tc>
          <w:tcPr>
            <w:tcW w:w="1761" w:type="dxa"/>
            <w:noWrap w:val="0"/>
            <w:vAlign w:val="center"/>
          </w:tcPr>
          <w:p>
            <w:pPr>
              <w:spacing w:line="500" w:lineRule="exact"/>
              <w:jc w:val="center"/>
              <w:rPr>
                <w:rFonts w:hint="eastAsia" w:ascii="宋体"/>
                <w:sz w:val="21"/>
                <w:szCs w:val="21"/>
                <w:lang w:val="en-US" w:eastAsia="zh-CN"/>
              </w:rPr>
            </w:pPr>
            <w:r>
              <w:rPr>
                <w:rFonts w:hint="eastAsia" w:ascii="宋体"/>
                <w:sz w:val="21"/>
                <w:szCs w:val="21"/>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02" w:type="dxa"/>
            <w:noWrap w:val="0"/>
            <w:vAlign w:val="center"/>
          </w:tcPr>
          <w:p>
            <w:pPr>
              <w:spacing w:line="500" w:lineRule="exact"/>
              <w:jc w:val="center"/>
              <w:rPr>
                <w:rFonts w:ascii="宋体"/>
                <w:sz w:val="21"/>
                <w:szCs w:val="21"/>
              </w:rPr>
            </w:pPr>
            <w:r>
              <w:rPr>
                <w:rFonts w:hint="eastAsia" w:ascii="宋体"/>
                <w:sz w:val="21"/>
                <w:szCs w:val="21"/>
              </w:rPr>
              <w:t>1</w:t>
            </w:r>
          </w:p>
        </w:tc>
        <w:tc>
          <w:tcPr>
            <w:tcW w:w="2735" w:type="dxa"/>
            <w:noWrap w:val="0"/>
            <w:vAlign w:val="center"/>
          </w:tcPr>
          <w:p>
            <w:pPr>
              <w:spacing w:line="600" w:lineRule="exact"/>
              <w:jc w:val="center"/>
              <w:rPr>
                <w:rFonts w:hint="eastAsia"/>
                <w:sz w:val="18"/>
                <w:szCs w:val="18"/>
              </w:rPr>
            </w:pPr>
          </w:p>
        </w:tc>
        <w:tc>
          <w:tcPr>
            <w:tcW w:w="2139" w:type="dxa"/>
            <w:noWrap w:val="0"/>
            <w:vAlign w:val="center"/>
          </w:tcPr>
          <w:p>
            <w:pPr>
              <w:spacing w:line="500" w:lineRule="exact"/>
              <w:jc w:val="center"/>
              <w:rPr>
                <w:rFonts w:hint="default" w:ascii="宋体" w:eastAsiaTheme="minorEastAsia"/>
                <w:sz w:val="21"/>
                <w:szCs w:val="21"/>
                <w:lang w:val="en-US" w:eastAsia="zh-CN"/>
              </w:rPr>
            </w:pPr>
          </w:p>
        </w:tc>
        <w:tc>
          <w:tcPr>
            <w:tcW w:w="1761"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802" w:type="dxa"/>
            <w:noWrap w:val="0"/>
            <w:vAlign w:val="center"/>
          </w:tcPr>
          <w:p>
            <w:pPr>
              <w:spacing w:line="500" w:lineRule="exact"/>
              <w:jc w:val="center"/>
              <w:rPr>
                <w:rFonts w:ascii="宋体"/>
                <w:sz w:val="21"/>
                <w:szCs w:val="21"/>
              </w:rPr>
            </w:pPr>
            <w:r>
              <w:rPr>
                <w:rFonts w:hint="eastAsia" w:ascii="宋体"/>
                <w:sz w:val="21"/>
                <w:szCs w:val="21"/>
              </w:rPr>
              <w:t>2</w:t>
            </w:r>
          </w:p>
        </w:tc>
        <w:tc>
          <w:tcPr>
            <w:tcW w:w="2735" w:type="dxa"/>
            <w:noWrap w:val="0"/>
            <w:vAlign w:val="center"/>
          </w:tcPr>
          <w:p>
            <w:pPr>
              <w:spacing w:line="600" w:lineRule="exact"/>
              <w:jc w:val="center"/>
              <w:rPr>
                <w:rFonts w:hint="eastAsia"/>
                <w:sz w:val="18"/>
                <w:szCs w:val="18"/>
                <w:lang w:val="en-US" w:eastAsia="zh-CN"/>
              </w:rPr>
            </w:pPr>
          </w:p>
        </w:tc>
        <w:tc>
          <w:tcPr>
            <w:tcW w:w="2139" w:type="dxa"/>
            <w:noWrap w:val="0"/>
            <w:vAlign w:val="center"/>
          </w:tcPr>
          <w:p>
            <w:pPr>
              <w:spacing w:line="500" w:lineRule="exact"/>
              <w:jc w:val="center"/>
              <w:rPr>
                <w:rFonts w:hint="default" w:ascii="宋体" w:eastAsiaTheme="minorEastAsia"/>
                <w:sz w:val="21"/>
                <w:szCs w:val="21"/>
                <w:lang w:val="en-US" w:eastAsia="zh-CN"/>
              </w:rPr>
            </w:pPr>
          </w:p>
        </w:tc>
        <w:tc>
          <w:tcPr>
            <w:tcW w:w="1761"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802" w:type="dxa"/>
            <w:noWrap w:val="0"/>
            <w:vAlign w:val="center"/>
          </w:tcPr>
          <w:p>
            <w:pPr>
              <w:spacing w:line="500" w:lineRule="exact"/>
              <w:jc w:val="center"/>
              <w:rPr>
                <w:rFonts w:hint="eastAsia" w:ascii="宋体" w:eastAsiaTheme="minorEastAsia"/>
                <w:sz w:val="21"/>
                <w:szCs w:val="21"/>
                <w:lang w:eastAsia="zh-CN"/>
              </w:rPr>
            </w:pPr>
            <w:r>
              <w:rPr>
                <w:rFonts w:hint="eastAsia" w:ascii="宋体"/>
                <w:sz w:val="21"/>
                <w:szCs w:val="21"/>
                <w:lang w:val="en-US" w:eastAsia="zh-CN"/>
              </w:rPr>
              <w:t>3</w:t>
            </w:r>
          </w:p>
        </w:tc>
        <w:tc>
          <w:tcPr>
            <w:tcW w:w="2735" w:type="dxa"/>
            <w:noWrap w:val="0"/>
            <w:vAlign w:val="center"/>
          </w:tcPr>
          <w:p>
            <w:pPr>
              <w:spacing w:line="600" w:lineRule="exact"/>
              <w:jc w:val="center"/>
              <w:rPr>
                <w:rFonts w:hint="eastAsia"/>
                <w:sz w:val="18"/>
                <w:szCs w:val="18"/>
              </w:rPr>
            </w:pPr>
          </w:p>
        </w:tc>
        <w:tc>
          <w:tcPr>
            <w:tcW w:w="2139" w:type="dxa"/>
            <w:noWrap w:val="0"/>
            <w:vAlign w:val="center"/>
          </w:tcPr>
          <w:p>
            <w:pPr>
              <w:spacing w:line="500" w:lineRule="exact"/>
              <w:jc w:val="center"/>
              <w:rPr>
                <w:rFonts w:hint="default" w:ascii="宋体" w:eastAsiaTheme="minorEastAsia"/>
                <w:sz w:val="21"/>
                <w:szCs w:val="21"/>
                <w:lang w:val="en-US" w:eastAsia="zh-CN"/>
              </w:rPr>
            </w:pPr>
          </w:p>
        </w:tc>
        <w:tc>
          <w:tcPr>
            <w:tcW w:w="1761"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802" w:type="dxa"/>
            <w:noWrap w:val="0"/>
            <w:vAlign w:val="center"/>
          </w:tcPr>
          <w:p>
            <w:pPr>
              <w:spacing w:line="500" w:lineRule="exact"/>
              <w:jc w:val="center"/>
              <w:rPr>
                <w:rFonts w:hint="default" w:ascii="宋体" w:eastAsiaTheme="minorEastAsia"/>
                <w:sz w:val="21"/>
                <w:szCs w:val="21"/>
                <w:lang w:val="en-US" w:eastAsia="zh-CN"/>
              </w:rPr>
            </w:pPr>
            <w:r>
              <w:rPr>
                <w:rFonts w:hint="eastAsia" w:ascii="宋体"/>
                <w:sz w:val="21"/>
                <w:szCs w:val="21"/>
                <w:lang w:val="en-US" w:eastAsia="zh-CN"/>
              </w:rPr>
              <w:t>.....</w:t>
            </w:r>
          </w:p>
        </w:tc>
        <w:tc>
          <w:tcPr>
            <w:tcW w:w="2735" w:type="dxa"/>
            <w:noWrap w:val="0"/>
            <w:vAlign w:val="center"/>
          </w:tcPr>
          <w:p>
            <w:pPr>
              <w:spacing w:line="600" w:lineRule="exact"/>
              <w:jc w:val="center"/>
              <w:rPr>
                <w:rFonts w:hint="eastAsia"/>
                <w:sz w:val="18"/>
                <w:szCs w:val="18"/>
              </w:rPr>
            </w:pPr>
          </w:p>
        </w:tc>
        <w:tc>
          <w:tcPr>
            <w:tcW w:w="2139" w:type="dxa"/>
            <w:noWrap w:val="0"/>
            <w:vAlign w:val="center"/>
          </w:tcPr>
          <w:p>
            <w:pPr>
              <w:spacing w:line="500" w:lineRule="exact"/>
              <w:jc w:val="center"/>
              <w:rPr>
                <w:rFonts w:hint="default" w:ascii="宋体" w:eastAsiaTheme="minorEastAsia"/>
                <w:sz w:val="21"/>
                <w:szCs w:val="21"/>
                <w:lang w:val="en-US" w:eastAsia="zh-CN"/>
              </w:rPr>
            </w:pPr>
          </w:p>
        </w:tc>
        <w:tc>
          <w:tcPr>
            <w:tcW w:w="1761"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802" w:type="dxa"/>
            <w:noWrap w:val="0"/>
            <w:vAlign w:val="center"/>
          </w:tcPr>
          <w:p>
            <w:pPr>
              <w:spacing w:line="500" w:lineRule="exact"/>
              <w:jc w:val="center"/>
              <w:rPr>
                <w:rFonts w:hint="default" w:ascii="宋体"/>
                <w:sz w:val="21"/>
                <w:szCs w:val="21"/>
                <w:lang w:val="en-US" w:eastAsia="zh-CN"/>
              </w:rPr>
            </w:pPr>
          </w:p>
        </w:tc>
        <w:tc>
          <w:tcPr>
            <w:tcW w:w="2735" w:type="dxa"/>
            <w:noWrap w:val="0"/>
            <w:vAlign w:val="center"/>
          </w:tcPr>
          <w:p>
            <w:pPr>
              <w:spacing w:line="600" w:lineRule="exact"/>
              <w:jc w:val="center"/>
              <w:rPr>
                <w:rFonts w:hint="eastAsia"/>
                <w:sz w:val="18"/>
                <w:szCs w:val="18"/>
              </w:rPr>
            </w:pPr>
          </w:p>
        </w:tc>
        <w:tc>
          <w:tcPr>
            <w:tcW w:w="2139" w:type="dxa"/>
            <w:noWrap w:val="0"/>
            <w:vAlign w:val="center"/>
          </w:tcPr>
          <w:p>
            <w:pPr>
              <w:spacing w:line="500" w:lineRule="exact"/>
              <w:jc w:val="center"/>
              <w:rPr>
                <w:rFonts w:hint="default" w:ascii="宋体" w:eastAsiaTheme="minorEastAsia"/>
                <w:sz w:val="21"/>
                <w:szCs w:val="21"/>
                <w:lang w:val="en-US" w:eastAsia="zh-CN"/>
              </w:rPr>
            </w:pPr>
          </w:p>
        </w:tc>
        <w:tc>
          <w:tcPr>
            <w:tcW w:w="1761"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02" w:type="dxa"/>
            <w:noWrap w:val="0"/>
            <w:vAlign w:val="center"/>
          </w:tcPr>
          <w:p>
            <w:pPr>
              <w:spacing w:line="500" w:lineRule="exact"/>
              <w:jc w:val="center"/>
              <w:rPr>
                <w:rFonts w:hint="default" w:ascii="宋体"/>
                <w:sz w:val="21"/>
                <w:szCs w:val="21"/>
                <w:lang w:val="en-US" w:eastAsia="zh-CN"/>
              </w:rPr>
            </w:pPr>
          </w:p>
        </w:tc>
        <w:tc>
          <w:tcPr>
            <w:tcW w:w="2735" w:type="dxa"/>
            <w:noWrap w:val="0"/>
            <w:vAlign w:val="center"/>
          </w:tcPr>
          <w:p>
            <w:pPr>
              <w:spacing w:line="600" w:lineRule="exact"/>
              <w:jc w:val="center"/>
              <w:rPr>
                <w:rFonts w:hint="eastAsia"/>
                <w:sz w:val="18"/>
                <w:szCs w:val="18"/>
              </w:rPr>
            </w:pPr>
          </w:p>
        </w:tc>
        <w:tc>
          <w:tcPr>
            <w:tcW w:w="2139" w:type="dxa"/>
            <w:noWrap w:val="0"/>
            <w:vAlign w:val="center"/>
          </w:tcPr>
          <w:p>
            <w:pPr>
              <w:spacing w:line="500" w:lineRule="exact"/>
              <w:jc w:val="center"/>
              <w:rPr>
                <w:rFonts w:hint="default" w:ascii="宋体" w:eastAsiaTheme="minorEastAsia"/>
                <w:sz w:val="21"/>
                <w:szCs w:val="21"/>
                <w:lang w:val="en-US" w:eastAsia="zh-CN"/>
              </w:rPr>
            </w:pPr>
          </w:p>
        </w:tc>
        <w:tc>
          <w:tcPr>
            <w:tcW w:w="1761"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802" w:type="dxa"/>
            <w:noWrap w:val="0"/>
            <w:vAlign w:val="center"/>
          </w:tcPr>
          <w:p>
            <w:pPr>
              <w:spacing w:line="500" w:lineRule="exact"/>
              <w:jc w:val="center"/>
              <w:rPr>
                <w:rFonts w:hint="eastAsia" w:ascii="宋体"/>
                <w:sz w:val="21"/>
                <w:szCs w:val="21"/>
                <w:lang w:val="en-US" w:eastAsia="zh-CN"/>
              </w:rPr>
            </w:pPr>
            <w:r>
              <w:rPr>
                <w:rFonts w:hint="eastAsia" w:ascii="宋体"/>
                <w:sz w:val="21"/>
                <w:szCs w:val="21"/>
                <w:lang w:val="en-US" w:eastAsia="zh-CN"/>
              </w:rPr>
              <w:t>合计</w:t>
            </w:r>
          </w:p>
        </w:tc>
        <w:tc>
          <w:tcPr>
            <w:tcW w:w="2735" w:type="dxa"/>
            <w:noWrap w:val="0"/>
            <w:vAlign w:val="center"/>
          </w:tcPr>
          <w:p>
            <w:pPr>
              <w:spacing w:line="500" w:lineRule="exact"/>
              <w:jc w:val="center"/>
              <w:rPr>
                <w:rFonts w:hint="eastAsia"/>
                <w:sz w:val="18"/>
                <w:szCs w:val="18"/>
              </w:rPr>
            </w:pPr>
          </w:p>
        </w:tc>
        <w:tc>
          <w:tcPr>
            <w:tcW w:w="2139"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c>
          <w:tcPr>
            <w:tcW w:w="1761" w:type="dxa"/>
            <w:noWrap w:val="0"/>
            <w:vAlign w:val="center"/>
          </w:tcPr>
          <w:p>
            <w:pPr>
              <w:spacing w:line="500" w:lineRule="exact"/>
              <w:jc w:val="center"/>
              <w:rPr>
                <w:rFonts w:ascii="宋体"/>
                <w:sz w:val="21"/>
                <w:szCs w:val="21"/>
              </w:rPr>
            </w:pPr>
          </w:p>
        </w:tc>
      </w:tr>
    </w:tbl>
    <w:p>
      <w:pPr>
        <w:adjustRightInd w:val="0"/>
        <w:snapToGrid w:val="0"/>
        <w:spacing w:line="360" w:lineRule="auto"/>
        <w:ind w:firstLine="420" w:firstLineChars="200"/>
        <w:rPr>
          <w:rFonts w:hint="eastAsia" w:ascii="宋体" w:hAnsi="Times New Roman" w:eastAsia="宋体" w:cs="Times New Roman"/>
          <w:szCs w:val="21"/>
        </w:rPr>
      </w:pPr>
    </w:p>
    <w:p>
      <w:pPr>
        <w:adjustRightInd w:val="0"/>
        <w:snapToGrid w:val="0"/>
        <w:spacing w:line="360" w:lineRule="auto"/>
        <w:ind w:firstLine="420" w:firstLineChars="200"/>
        <w:rPr>
          <w:rFonts w:hint="eastAsia" w:ascii="宋体" w:hAnsi="Times New Roman" w:eastAsia="宋体" w:cs="Times New Roman"/>
          <w:szCs w:val="21"/>
        </w:rPr>
      </w:pPr>
      <w:r>
        <w:rPr>
          <w:rFonts w:hint="eastAsia" w:ascii="宋体" w:hAnsi="Times New Roman" w:eastAsia="宋体" w:cs="Times New Roman"/>
          <w:szCs w:val="21"/>
        </w:rPr>
        <w:t>注：</w:t>
      </w:r>
      <w:r>
        <w:rPr>
          <w:rFonts w:hint="eastAsia" w:ascii="宋体" w:hAnsi="Times New Roman" w:eastAsia="宋体" w:cs="Times New Roman"/>
          <w:szCs w:val="21"/>
          <w:lang w:val="en-US" w:eastAsia="zh-CN"/>
        </w:rPr>
        <w:t>1、</w:t>
      </w:r>
      <w:r>
        <w:rPr>
          <w:rFonts w:hint="eastAsia" w:ascii="宋体" w:hAnsi="Times New Roman" w:eastAsia="宋体" w:cs="Times New Roman"/>
          <w:szCs w:val="21"/>
        </w:rPr>
        <w:t>本项目报价</w:t>
      </w:r>
      <w:r>
        <w:rPr>
          <w:rFonts w:hint="eastAsia" w:ascii="宋体" w:hAnsi="Times New Roman" w:eastAsia="宋体" w:cs="Times New Roman"/>
          <w:szCs w:val="21"/>
          <w:lang w:eastAsia="zh-CN"/>
        </w:rPr>
        <w:t>已</w:t>
      </w:r>
      <w:r>
        <w:rPr>
          <w:rFonts w:hint="eastAsia" w:ascii="宋体" w:hAnsi="Times New Roman" w:eastAsia="宋体" w:cs="Times New Roman"/>
          <w:szCs w:val="21"/>
        </w:rPr>
        <w:t>包括</w:t>
      </w:r>
      <w:r>
        <w:rPr>
          <w:rFonts w:hint="eastAsia" w:ascii="宋体" w:hAnsi="Times New Roman" w:eastAsia="宋体" w:cs="Times New Roman"/>
          <w:szCs w:val="21"/>
          <w:lang w:eastAsia="zh-CN"/>
        </w:rPr>
        <w:t>完成本文件规定的</w:t>
      </w:r>
      <w:r>
        <w:rPr>
          <w:rFonts w:hint="eastAsia" w:ascii="宋体" w:hAnsi="Times New Roman" w:eastAsia="宋体" w:cs="Times New Roman"/>
          <w:szCs w:val="21"/>
        </w:rPr>
        <w:t>所有费用</w:t>
      </w:r>
      <w:r>
        <w:rPr>
          <w:rFonts w:hint="eastAsia" w:ascii="宋体" w:hAnsi="Times New Roman" w:eastAsia="宋体" w:cs="Times New Roman"/>
          <w:szCs w:val="21"/>
          <w:lang w:eastAsia="zh-CN"/>
        </w:rPr>
        <w:t>（含税）</w:t>
      </w:r>
      <w:r>
        <w:rPr>
          <w:rFonts w:hint="eastAsia" w:ascii="宋体" w:hAnsi="Times New Roman" w:eastAsia="宋体" w:cs="Times New Roman"/>
          <w:szCs w:val="21"/>
        </w:rPr>
        <w:t>。</w:t>
      </w:r>
    </w:p>
    <w:p>
      <w:pPr>
        <w:adjustRightInd w:val="0"/>
        <w:snapToGrid w:val="0"/>
        <w:spacing w:line="360" w:lineRule="auto"/>
        <w:ind w:firstLine="420" w:firstLineChars="200"/>
        <w:rPr>
          <w:rFonts w:ascii="宋体" w:hAnsi="Times New Roman" w:eastAsia="宋体" w:cs="Times New Roman"/>
          <w:szCs w:val="21"/>
        </w:rPr>
      </w:pPr>
      <w:r>
        <w:rPr>
          <w:rFonts w:hint="eastAsia" w:ascii="宋体" w:hAnsi="Times New Roman" w:eastAsia="宋体" w:cs="Times New Roman"/>
          <w:szCs w:val="21"/>
          <w:lang w:val="en-US" w:eastAsia="zh-CN"/>
        </w:rPr>
        <w:t>2</w:t>
      </w:r>
      <w:r>
        <w:rPr>
          <w:rFonts w:hint="eastAsia" w:ascii="宋体" w:hAnsi="Times New Roman" w:eastAsia="宋体" w:cs="Times New Roman"/>
          <w:szCs w:val="21"/>
        </w:rPr>
        <w:t>、</w:t>
      </w:r>
      <w:r>
        <w:rPr>
          <w:rFonts w:ascii="宋体" w:hAnsi="Times New Roman" w:eastAsia="宋体" w:cs="Times New Roman"/>
          <w:szCs w:val="21"/>
        </w:rPr>
        <w:t>我方报价均真实有效，不存在</w:t>
      </w:r>
      <w:r>
        <w:rPr>
          <w:rFonts w:hint="eastAsia" w:ascii="宋体" w:hAnsi="Times New Roman" w:eastAsia="宋体" w:cs="Times New Roman"/>
          <w:szCs w:val="21"/>
        </w:rPr>
        <w:t>低于成本</w:t>
      </w:r>
      <w:r>
        <w:rPr>
          <w:rFonts w:ascii="宋体" w:hAnsi="Times New Roman" w:eastAsia="宋体" w:cs="Times New Roman"/>
          <w:szCs w:val="21"/>
        </w:rPr>
        <w:t>的不正当竞争行为</w:t>
      </w:r>
      <w:r>
        <w:rPr>
          <w:rFonts w:hint="eastAsia" w:ascii="宋体" w:hAnsi="Times New Roman" w:eastAsia="宋体" w:cs="Times New Roman"/>
          <w:szCs w:val="21"/>
        </w:rPr>
        <w:t>，并且</w:t>
      </w:r>
      <w:r>
        <w:rPr>
          <w:rFonts w:ascii="宋体" w:hAnsi="Times New Roman" w:eastAsia="宋体" w:cs="Times New Roman"/>
          <w:szCs w:val="21"/>
        </w:rPr>
        <w:t>不存在以低价谋取成交后提供不良产品</w:t>
      </w:r>
      <w:r>
        <w:rPr>
          <w:rFonts w:hint="eastAsia" w:ascii="宋体" w:hAnsi="Times New Roman" w:eastAsia="宋体" w:cs="Times New Roman"/>
          <w:szCs w:val="21"/>
        </w:rPr>
        <w:t>或者</w:t>
      </w:r>
      <w:r>
        <w:rPr>
          <w:rFonts w:ascii="宋体" w:hAnsi="Times New Roman" w:eastAsia="宋体" w:cs="Times New Roman"/>
          <w:szCs w:val="21"/>
        </w:rPr>
        <w:t>不诚信履约情况</w:t>
      </w:r>
      <w:r>
        <w:rPr>
          <w:rFonts w:hint="eastAsia" w:ascii="宋体" w:hAnsi="Times New Roman" w:eastAsia="宋体" w:cs="Times New Roman"/>
          <w:szCs w:val="21"/>
        </w:rPr>
        <w:t>。</w:t>
      </w: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ascii="宋体"/>
          <w:sz w:val="24"/>
          <w:u w:val="single"/>
        </w:rPr>
      </w:pPr>
      <w:r>
        <w:rPr>
          <w:rFonts w:hint="eastAsia" w:ascii="宋体"/>
          <w:sz w:val="24"/>
        </w:rPr>
        <w:t>法定代表人（负责人）或授权代表：</w:t>
      </w:r>
      <w:r>
        <w:rPr>
          <w:rFonts w:hint="eastAsia" w:ascii="宋体"/>
          <w:sz w:val="24"/>
          <w:u w:val="single"/>
        </w:rPr>
        <w:t>　　　　　　　　　　　　　　（签字）</w:t>
      </w: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spacing w:line="360" w:lineRule="auto"/>
        <w:ind w:firstLine="315" w:firstLineChars="150"/>
        <w:jc w:val="center"/>
        <w:rPr>
          <w:rFonts w:ascii="宋体"/>
        </w:rPr>
      </w:pPr>
      <w:r>
        <w:rPr>
          <w:rFonts w:ascii="宋体"/>
        </w:rPr>
        <w:br w:type="page"/>
      </w:r>
    </w:p>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附件三：</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hint="eastAsia" w:ascii="宋体"/>
          <w:sz w:val="24"/>
        </w:rPr>
      </w:pPr>
    </w:p>
    <w:p>
      <w:pPr>
        <w:spacing w:line="500" w:lineRule="exact"/>
        <w:jc w:val="left"/>
        <w:rPr>
          <w:rFonts w:hint="default" w:ascii="宋体" w:eastAsiaTheme="minorEastAsia"/>
          <w:sz w:val="24"/>
          <w:u w:val="single"/>
          <w:lang w:val="en-US" w:eastAsia="zh-CN"/>
        </w:rPr>
      </w:pPr>
      <w:r>
        <w:rPr>
          <w:rFonts w:hint="eastAsia" w:ascii="宋体"/>
          <w:sz w:val="24"/>
        </w:rPr>
        <w:t>法定代表人</w:t>
      </w:r>
      <w:r>
        <w:rPr>
          <w:rFonts w:hint="eastAsia" w:ascii="宋体"/>
          <w:sz w:val="24"/>
          <w:lang w:eastAsia="zh-CN"/>
        </w:rPr>
        <w:t>：</w:t>
      </w:r>
      <w:r>
        <w:rPr>
          <w:rFonts w:hint="eastAsia" w:ascii="宋体"/>
          <w:sz w:val="24"/>
          <w:u w:val="single"/>
        </w:rPr>
        <w:t>（签字）</w:t>
      </w:r>
      <w:r>
        <w:rPr>
          <w:rFonts w:hint="eastAsia" w:ascii="宋体"/>
          <w:sz w:val="24"/>
          <w:u w:val="single"/>
          <w:lang w:val="en-US" w:eastAsia="zh-CN"/>
        </w:rPr>
        <w:t xml:space="preserve">                          </w:t>
      </w:r>
    </w:p>
    <w:p>
      <w:pPr>
        <w:pStyle w:val="2"/>
        <w:rPr>
          <w:rFonts w:hint="eastAsia" w:ascii="宋体"/>
          <w:sz w:val="24"/>
          <w:u w:val="single"/>
          <w:lang w:eastAsia="zh-CN"/>
        </w:rPr>
      </w:pPr>
    </w:p>
    <w:p>
      <w:pPr>
        <w:pStyle w:val="2"/>
        <w:rPr>
          <w:rFonts w:hint="default" w:eastAsiaTheme="minorEastAsia"/>
          <w:lang w:val="en-US" w:eastAsia="zh-CN"/>
        </w:rPr>
      </w:pPr>
      <w:r>
        <w:rPr>
          <w:rFonts w:hint="eastAsia" w:ascii="宋体"/>
          <w:sz w:val="24"/>
          <w:u w:val="single"/>
          <w:lang w:eastAsia="zh-CN"/>
        </w:rPr>
        <w:t>代理人：（签字）</w:t>
      </w:r>
      <w:r>
        <w:rPr>
          <w:rFonts w:hint="eastAsia" w:ascii="宋体"/>
          <w:sz w:val="24"/>
          <w:u w:val="single"/>
          <w:lang w:val="en-US" w:eastAsia="zh-CN"/>
        </w:rPr>
        <w:t xml:space="preserve">                              </w:t>
      </w:r>
    </w:p>
    <w:p>
      <w:pPr>
        <w:spacing w:line="500" w:lineRule="exact"/>
        <w:jc w:val="left"/>
        <w:rPr>
          <w:rFonts w:hint="eastAsia"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7"/>
        <w:snapToGrid w:val="0"/>
        <w:spacing w:after="0" w:line="360" w:lineRule="auto"/>
        <w:jc w:val="center"/>
        <w:rPr>
          <w:rFonts w:ascii="宋体"/>
          <w:color w:val="000000"/>
          <w:sz w:val="24"/>
        </w:rPr>
      </w:pPr>
    </w:p>
    <w:p>
      <w:pPr>
        <w:spacing w:line="360" w:lineRule="auto"/>
        <w:jc w:val="cente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rPr>
      </w:pPr>
    </w:p>
    <w:p>
      <w:pPr>
        <w:spacing w:line="360" w:lineRule="auto"/>
        <w:jc w:val="both"/>
        <w:rPr>
          <w:rFonts w:hint="eastAsia" w:ascii="宋体" w:hAnsi="宋体" w:eastAsiaTheme="minorEastAsia"/>
          <w:b/>
          <w:sz w:val="32"/>
          <w:szCs w:val="32"/>
          <w:lang w:eastAsia="zh-CN"/>
        </w:rPr>
      </w:pPr>
      <w:r>
        <w:rPr>
          <w:rFonts w:hint="eastAsia" w:ascii="宋体" w:hAnsi="宋体"/>
          <w:b/>
          <w:sz w:val="32"/>
          <w:szCs w:val="32"/>
          <w:lang w:eastAsia="zh-CN"/>
        </w:rPr>
        <w:t>附件四：</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spacing w:line="400" w:lineRule="exact"/>
        <w:ind w:firstLine="360" w:firstLineChars="200"/>
        <w:jc w:val="left"/>
        <w:outlineLvl w:val="1"/>
        <w:rPr>
          <w:rFonts w:ascii="宋体"/>
          <w:sz w:val="18"/>
          <w:szCs w:val="18"/>
        </w:rPr>
      </w:pPr>
      <w:r>
        <w:rPr>
          <w:rFonts w:hint="eastAsia" w:ascii="宋体"/>
          <w:sz w:val="18"/>
          <w:szCs w:val="18"/>
        </w:rPr>
        <w:t>一、具备《中华人民共和国政府采购法》第二十二条第一款和本项目规定的条件：</w:t>
      </w:r>
    </w:p>
    <w:p>
      <w:pPr>
        <w:widowControl/>
        <w:spacing w:line="400" w:lineRule="exact"/>
        <w:ind w:firstLine="360" w:firstLineChars="200"/>
        <w:jc w:val="left"/>
        <w:outlineLvl w:val="1"/>
        <w:rPr>
          <w:rFonts w:ascii="宋体"/>
          <w:sz w:val="18"/>
          <w:szCs w:val="18"/>
        </w:rPr>
      </w:pPr>
      <w:r>
        <w:rPr>
          <w:rFonts w:hint="eastAsia" w:ascii="宋体"/>
          <w:sz w:val="18"/>
          <w:szCs w:val="18"/>
        </w:rPr>
        <w:t>（一）具有独立承担民事责任的能力；</w:t>
      </w:r>
      <w:r>
        <w:rPr>
          <w:rFonts w:ascii="宋体"/>
          <w:sz w:val="18"/>
          <w:szCs w:val="18"/>
        </w:rPr>
        <w:t xml:space="preserve"> </w:t>
      </w:r>
      <w:r>
        <w:rPr>
          <w:rFonts w:ascii="宋体"/>
          <w:sz w:val="18"/>
          <w:szCs w:val="18"/>
        </w:rPr>
        <w:br w:type="textWrapping"/>
      </w:r>
      <w:r>
        <w:rPr>
          <w:rFonts w:hint="eastAsia" w:ascii="宋体"/>
          <w:sz w:val="18"/>
          <w:szCs w:val="18"/>
        </w:rPr>
        <w:t>　　（二）具有良好的商业信誉和健全的财务会计制度；</w:t>
      </w:r>
      <w:r>
        <w:rPr>
          <w:rFonts w:ascii="宋体"/>
          <w:sz w:val="18"/>
          <w:szCs w:val="18"/>
        </w:rPr>
        <w:t xml:space="preserve"> </w:t>
      </w:r>
      <w:r>
        <w:rPr>
          <w:rFonts w:ascii="宋体"/>
          <w:sz w:val="18"/>
          <w:szCs w:val="18"/>
        </w:rPr>
        <w:br w:type="textWrapping"/>
      </w:r>
      <w:r>
        <w:rPr>
          <w:rFonts w:hint="eastAsia" w:ascii="宋体"/>
          <w:sz w:val="18"/>
          <w:szCs w:val="18"/>
        </w:rPr>
        <w:t>　　（三）具有履行合同所必需的设备和专业技术能力；</w:t>
      </w:r>
      <w:r>
        <w:rPr>
          <w:rFonts w:ascii="宋体"/>
          <w:sz w:val="18"/>
          <w:szCs w:val="18"/>
        </w:rPr>
        <w:t xml:space="preserve"> </w:t>
      </w:r>
      <w:r>
        <w:rPr>
          <w:rFonts w:ascii="宋体"/>
          <w:sz w:val="18"/>
          <w:szCs w:val="18"/>
        </w:rPr>
        <w:br w:type="textWrapping"/>
      </w:r>
      <w:r>
        <w:rPr>
          <w:rFonts w:hint="eastAsia" w:ascii="宋体"/>
          <w:sz w:val="18"/>
          <w:szCs w:val="18"/>
        </w:rPr>
        <w:t>　　（四）有依法缴纳税收和社会保障资金的良好记录；</w:t>
      </w:r>
      <w:r>
        <w:rPr>
          <w:rFonts w:ascii="宋体"/>
          <w:sz w:val="18"/>
          <w:szCs w:val="18"/>
        </w:rPr>
        <w:t xml:space="preserve"> </w:t>
      </w:r>
      <w:r>
        <w:rPr>
          <w:rFonts w:ascii="宋体"/>
          <w:sz w:val="18"/>
          <w:szCs w:val="18"/>
        </w:rPr>
        <w:br w:type="textWrapping"/>
      </w:r>
      <w:r>
        <w:rPr>
          <w:rFonts w:hint="eastAsia" w:ascii="宋体"/>
          <w:sz w:val="18"/>
          <w:szCs w:val="18"/>
        </w:rPr>
        <w:t>　　（五）参加政府采购活动前三年内，在经营活动中没有重大违法记录；</w:t>
      </w:r>
    </w:p>
    <w:p>
      <w:pPr>
        <w:widowControl/>
        <w:spacing w:line="400" w:lineRule="exact"/>
        <w:ind w:firstLine="360" w:firstLineChars="2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360" w:firstLineChars="2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spacing w:line="400" w:lineRule="exact"/>
        <w:jc w:val="center"/>
        <w:rPr>
          <w:rFonts w:ascii="宋体"/>
          <w:b/>
          <w:sz w:val="18"/>
          <w:szCs w:val="18"/>
        </w:rPr>
      </w:pP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p>
      <w:pPr>
        <w:pStyle w:val="2"/>
        <w:rPr>
          <w:rFonts w:hint="eastAsia" w:ascii="仿宋" w:hAnsi="仿宋" w:eastAsia="仿宋" w:cs="仿宋"/>
          <w:b w:val="0"/>
          <w:bCs/>
          <w:i w:val="0"/>
          <w:iCs w:val="0"/>
          <w:sz w:val="18"/>
          <w:szCs w:val="1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0A4AB"/>
    <w:multiLevelType w:val="singleLevel"/>
    <w:tmpl w:val="3B40A4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5899"/>
    <w:rsid w:val="09CB1D24"/>
    <w:rsid w:val="0EB859DD"/>
    <w:rsid w:val="0FB53FBA"/>
    <w:rsid w:val="12D4769E"/>
    <w:rsid w:val="13166F71"/>
    <w:rsid w:val="1723084F"/>
    <w:rsid w:val="1D666CF8"/>
    <w:rsid w:val="1EE645ED"/>
    <w:rsid w:val="1F6D44F4"/>
    <w:rsid w:val="1F9E3357"/>
    <w:rsid w:val="25DB486E"/>
    <w:rsid w:val="2E9E55DF"/>
    <w:rsid w:val="31B73586"/>
    <w:rsid w:val="344A1D72"/>
    <w:rsid w:val="359C5B20"/>
    <w:rsid w:val="35DE368E"/>
    <w:rsid w:val="36C00B5D"/>
    <w:rsid w:val="380A562F"/>
    <w:rsid w:val="39FF6E13"/>
    <w:rsid w:val="3C3C2F0E"/>
    <w:rsid w:val="41534DD6"/>
    <w:rsid w:val="441872F3"/>
    <w:rsid w:val="4D4811E9"/>
    <w:rsid w:val="52D34AC0"/>
    <w:rsid w:val="5B4E7E94"/>
    <w:rsid w:val="5CFE0C35"/>
    <w:rsid w:val="5F2B346B"/>
    <w:rsid w:val="712338AD"/>
    <w:rsid w:val="7B371D63"/>
    <w:rsid w:val="7DC6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ind w:firstLine="420" w:firstLineChars="200"/>
    </w:pPr>
    <w:rPr>
      <w:sz w:val="24"/>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org"/>
    <w:basedOn w:val="12"/>
    <w:qFormat/>
    <w:uiPriority w:val="0"/>
    <w:rPr>
      <w:color w:val="EB9D17"/>
    </w:rPr>
  </w:style>
  <w:style w:type="character" w:customStyle="1" w:styleId="17">
    <w:name w:val="moreimg"/>
    <w:basedOn w:val="12"/>
    <w:qFormat/>
    <w:uiPriority w:val="0"/>
  </w:style>
  <w:style w:type="character" w:customStyle="1" w:styleId="18">
    <w:name w:val="red"/>
    <w:basedOn w:val="12"/>
    <w:qFormat/>
    <w:uiPriority w:val="0"/>
    <w:rPr>
      <w:color w:val="CC0000"/>
    </w:rPr>
  </w:style>
  <w:style w:type="character" w:customStyle="1" w:styleId="19">
    <w:name w:val="dl"/>
    <w:basedOn w:val="12"/>
    <w:qFormat/>
    <w:uiPriority w:val="0"/>
  </w:style>
  <w:style w:type="character" w:customStyle="1" w:styleId="20">
    <w:name w:val="time"/>
    <w:basedOn w:val="12"/>
    <w:qFormat/>
    <w:uiPriority w:val="0"/>
    <w:rPr>
      <w:rFonts w:ascii="Arial" w:hAnsi="Arial" w:cs="Arial"/>
      <w:color w:val="333333"/>
      <w:sz w:val="12"/>
      <w:szCs w:val="12"/>
    </w:rPr>
  </w:style>
  <w:style w:type="character" w:customStyle="1" w:styleId="21">
    <w:name w:val="hd"/>
    <w:basedOn w:val="12"/>
    <w:qFormat/>
    <w:uiPriority w:val="0"/>
  </w:style>
  <w:style w:type="character" w:customStyle="1" w:styleId="22">
    <w:name w:val="ng"/>
    <w:basedOn w:val="12"/>
    <w:qFormat/>
    <w:uiPriority w:val="0"/>
  </w:style>
  <w:style w:type="paragraph" w:customStyle="1" w:styleId="23">
    <w:name w:val="正文首行缩进两字符"/>
    <w:basedOn w:val="1"/>
    <w:qFormat/>
    <w:uiPriority w:val="0"/>
    <w:pPr>
      <w:spacing w:line="360" w:lineRule="auto"/>
      <w:ind w:firstLine="200" w:firstLineChars="200"/>
    </w:pPr>
    <w:rPr>
      <w:rFonts w:ascii="Times New Roman" w:hAnsi="Times New Roman"/>
    </w:rPr>
  </w:style>
  <w:style w:type="paragraph" w:customStyle="1" w:styleId="24">
    <w:name w:val="样式 首行缩进:  2 字符"/>
    <w:basedOn w:val="1"/>
    <w:qFormat/>
    <w:uiPriority w:val="0"/>
    <w:pPr>
      <w:spacing w:line="400" w:lineRule="exact"/>
      <w:ind w:firstLine="200" w:firstLineChars="200"/>
    </w:pPr>
    <w:rPr>
      <w:rFonts w:ascii="Times New Roman" w:hAnsi="Times New Roman"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司令</cp:lastModifiedBy>
  <cp:lastPrinted>2022-01-21T02:57:52Z</cp:lastPrinted>
  <dcterms:modified xsi:type="dcterms:W3CDTF">2022-01-21T02:57:55Z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21F808C3580648F0883E9E96D7A05D1B</vt:lpwstr>
  </property>
</Properties>
</file>